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Calibri" w:eastAsia="Calibri" w:hAnsi="Calibri"/>
          <w:b/>
          <w:bCs/>
          <w:color w:val="1F1F1F"/>
          <w:sz w:val="84"/>
          <w:szCs w:val="84"/>
        </w:rPr>
        <w:t xml:space="preserve">Product Requirements</w:t>
      </w:r>
    </w:p>
    <w:p>
      <w:pPr>
        <w:spacing w:after="480" w:before="0"/>
      </w:pPr>
      <w:r>
        <w:rPr>
          <w:rFonts w:ascii="Calibri" w:cs="Calibri" w:eastAsia="Calibri" w:hAnsi="Calibri"/>
          <w:color w:val="595959"/>
          <w:sz w:val="28"/>
          <w:szCs w:val="28"/>
        </w:rPr>
        <w:t xml:space="preserve">Agency 2026 hackathon build · PRD v1.0</w:t>
      </w:r>
    </w:p>
    <w:p>
      <w:pPr>
        <w:pBdr>
          <w:bottom w:val="single" w:color="D3D1C7" w:sz="6" w:space="1"/>
        </w:pBdr>
        <w:spacing w:after="200" w:before="200"/>
      </w:pPr>
      <w:r>
        <w:t xml:space="preserve"/>
      </w:r>
    </w:p>
    <w:p>
      <w:pPr>
        <w:spacing w:after="120" w:before="240"/>
      </w:pPr>
      <w:r>
        <w:rPr>
          <w:rFonts w:ascii="Calibri" w:cs="Calibri" w:eastAsia="Calibri" w:hAnsi="Calibri"/>
          <w:color w:val="595959"/>
          <w:sz w:val="22"/>
          <w:szCs w:val="22"/>
        </w:rPr>
        <w:t xml:space="preserve">Document version: </w:t>
      </w:r>
      <w:r>
        <w:rPr>
          <w:rFonts w:ascii="Calibri" w:cs="Calibri" w:eastAsia="Calibri" w:hAnsi="Calibri"/>
          <w:b/>
          <w:bCs/>
          <w:color w:val="1F1F1F"/>
          <w:sz w:val="22"/>
          <w:szCs w:val="22"/>
        </w:rPr>
        <w:t xml:space="preserve">1.0</w:t>
      </w:r>
    </w:p>
    <w:p>
      <w:pPr>
        <w:spacing w:after="120" w:before="0"/>
      </w:pPr>
      <w:r>
        <w:rPr>
          <w:rFonts w:ascii="Calibri" w:cs="Calibri" w:eastAsia="Calibri" w:hAnsi="Calibri"/>
          <w:color w:val="595959"/>
          <w:sz w:val="22"/>
          <w:szCs w:val="22"/>
        </w:rPr>
        <w:t xml:space="preserve">Status: </w:t>
      </w:r>
      <w:r>
        <w:rPr>
          <w:rFonts w:ascii="Calibri" w:cs="Calibri" w:eastAsia="Calibri" w:hAnsi="Calibri"/>
          <w:b/>
          <w:bCs/>
          <w:color w:val="0F6E56"/>
          <w:sz w:val="22"/>
          <w:szCs w:val="22"/>
        </w:rPr>
        <w:t xml:space="preserve">Approved for execution</w:t>
      </w:r>
    </w:p>
    <w:p>
      <w:pPr>
        <w:spacing w:after="120" w:before="0"/>
      </w:pPr>
      <w:r>
        <w:rPr>
          <w:rFonts w:ascii="Calibri" w:cs="Calibri" w:eastAsia="Calibri" w:hAnsi="Calibri"/>
          <w:color w:val="595959"/>
          <w:sz w:val="22"/>
          <w:szCs w:val="22"/>
        </w:rPr>
        <w:t xml:space="preserve">Owner: </w:t>
      </w:r>
      <w:r>
        <w:rPr>
          <w:rFonts w:ascii="Calibri" w:cs="Calibri" w:eastAsia="Calibri" w:hAnsi="Calibri"/>
          <w:color w:val="1F1F1F"/>
          <w:sz w:val="22"/>
          <w:szCs w:val="22"/>
        </w:rPr>
        <w:t xml:space="preserve">Will Coffey, Pythagorithm AI Governance Solutions</w:t>
      </w:r>
    </w:p>
    <w:p>
      <w:pPr>
        <w:spacing w:after="120" w:before="0"/>
      </w:pPr>
      <w:r>
        <w:rPr>
          <w:rFonts w:ascii="Calibri" w:cs="Calibri" w:eastAsia="Calibri" w:hAnsi="Calibri"/>
          <w:color w:val="595959"/>
          <w:sz w:val="22"/>
          <w:szCs w:val="22"/>
        </w:rPr>
        <w:t xml:space="preserve">Event: </w:t>
      </w:r>
      <w:r>
        <w:rPr>
          <w:rFonts w:ascii="Calibri" w:cs="Calibri" w:eastAsia="Calibri" w:hAnsi="Calibri"/>
          <w:color w:val="1F1F1F"/>
          <w:sz w:val="22"/>
          <w:szCs w:val="22"/>
        </w:rPr>
        <w:t xml:space="preserve">Agency 2026 Hackathon, Ottawa, April 29, 2026</w:t>
      </w:r>
    </w:p>
    <w:p>
      <w:r>
        <w:br w:type="page"/>
      </w:r>
    </w:p>
    <w:p>
      <w:pPr>
        <w:pStyle w:val="Heading1"/>
        <w:spacing w:after="240" w:before="480" w:line="320"/>
      </w:pPr>
      <w:r>
        <w:rPr>
          <w:rFonts w:ascii="Calibri" w:cs="Calibri" w:eastAsia="Calibri" w:hAnsi="Calibri"/>
          <w:b/>
          <w:bCs/>
          <w:color w:val="1F1F1F"/>
          <w:sz w:val="44"/>
          <w:szCs w:val="44"/>
        </w:rPr>
        <w:t xml:space="preserve">1 · Purpose</w:t>
      </w:r>
    </w:p>
    <w:p>
      <w:pPr>
        <w:spacing w:after="120" w:before="0" w:line="320"/>
        <w:jc w:val="left"/>
      </w:pPr>
      <w:r>
        <w:rPr>
          <w:rFonts w:ascii="Calibri" w:cs="Calibri" w:eastAsia="Calibri" w:hAnsi="Calibri"/>
          <w:b w:val="false"/>
          <w:bCs w:val="false"/>
          <w:i w:val="false"/>
          <w:iCs w:val="false"/>
          <w:color w:val="1F1F1F"/>
          <w:sz w:val="22"/>
          <w:szCs w:val="22"/>
        </w:rPr>
        <w:t xml:space="preserve">This Product Requirements Document defines what Pythagorithm is building for the Agency 2026 hackathon, who it is built for, what success looks like, and what is explicitly out of scope. It serves as the contract between the strategic intent (briefing) and the engineering execution (build playbook).</w:t>
      </w:r>
    </w:p>
    <w:p>
      <w:pPr>
        <w:spacing w:after="120" w:before="0" w:line="320"/>
        <w:jc w:val="left"/>
      </w:pPr>
      <w:r>
        <w:rPr>
          <w:rFonts w:ascii="Calibri" w:cs="Calibri" w:eastAsia="Calibri" w:hAnsi="Calibri"/>
          <w:b w:val="false"/>
          <w:bCs w:val="false"/>
          <w:i/>
          <w:iCs/>
          <w:color w:val="595959"/>
          <w:sz w:val="22"/>
          <w:szCs w:val="22"/>
        </w:rPr>
        <w:t xml:space="preserve">This is a one-day build with hard delivery time of 16:30 EDT on April 29, 2026, in front of federal and provincial Ministers, Deputy Ministers, senior public servants, and the Office of the Auditor General. The product must therefore be calibrated, sourced, and demonstrably governed at the moment it is shown.</w:t>
      </w:r>
    </w:p>
    <w:p>
      <w:pPr>
        <w:pStyle w:val="Heading1"/>
        <w:spacing w:after="240" w:before="480" w:line="320"/>
      </w:pPr>
      <w:r>
        <w:rPr>
          <w:rFonts w:ascii="Calibri" w:cs="Calibri" w:eastAsia="Calibri" w:hAnsi="Calibri"/>
          <w:b/>
          <w:bCs/>
          <w:color w:val="1F1F1F"/>
          <w:sz w:val="44"/>
          <w:szCs w:val="44"/>
        </w:rPr>
        <w:t xml:space="preserve">2 · Problem statement</w:t>
      </w:r>
    </w:p>
    <w:p>
      <w:pPr>
        <w:spacing w:after="120" w:before="0" w:line="320"/>
        <w:jc w:val="left"/>
      </w:pPr>
      <w:r>
        <w:rPr>
          <w:rFonts w:ascii="Calibri" w:cs="Calibri" w:eastAsia="Calibri" w:hAnsi="Calibri"/>
          <w:b w:val="false"/>
          <w:bCs w:val="false"/>
          <w:i w:val="false"/>
          <w:iCs w:val="false"/>
          <w:color w:val="1F1F1F"/>
          <w:sz w:val="22"/>
          <w:szCs w:val="22"/>
        </w:rPr>
        <w:t xml:space="preserve">The Government of Alberta has produced a comprehensive analytics platform exposing patterns of risk in $700B+ of Canadian public spending. Minister Glubish has pre-positioned the day with named scandals, named gaps, and named scoring. Every team in the room will reproduce variants of his analysis.</w:t>
      </w:r>
    </w:p>
    <w:p>
      <w:pPr>
        <w:spacing w:after="120" w:before="0" w:line="320"/>
        <w:jc w:val="left"/>
      </w:pPr>
      <w:r>
        <w:rPr>
          <w:rFonts w:ascii="Calibri" w:cs="Calibri" w:eastAsia="Calibri" w:hAnsi="Calibri"/>
          <w:b w:val="false"/>
          <w:bCs w:val="false"/>
          <w:i w:val="false"/>
          <w:iCs w:val="false"/>
          <w:color w:val="1F1F1F"/>
          <w:sz w:val="22"/>
          <w:szCs w:val="22"/>
        </w:rPr>
        <w:t xml:space="preserve">Three problems remain unaddressed by what Glubish demonstrated:</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P1 — The accountability of the accountability AI. </w:t>
      </w:r>
      <w:r>
        <w:rPr>
          <w:rFonts w:ascii="Calibri" w:cs="Calibri" w:eastAsia="Calibri" w:hAnsi="Calibri"/>
          <w:b w:val="false"/>
          <w:bCs w:val="false"/>
          <w:i w:val="false"/>
          <w:iCs w:val="false"/>
          <w:color w:val="1F1F1F"/>
          <w:sz w:val="22"/>
          <w:szCs w:val="22"/>
        </w:rPr>
        <w:t xml:space="preserve">Glubish's system flags 846 organizations as CRITICAL and 6,931 as HIGH risk. Each flag is a consequential algorithmic assessment. There is no transparent provenance for why any specific entity received its score, no calibration gate visible to the user, and no audit trail accessible at the point of decision. Under the Treasury Board Directive on Automated Decision-Making framing, these are exactly the questions that an algorithmic system producing assessments must answer.</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P2 — The $71.5B description gap. </w:t>
      </w:r>
      <w:r>
        <w:rPr>
          <w:rFonts w:ascii="Calibri" w:cs="Calibri" w:eastAsia="Calibri" w:hAnsi="Calibri"/>
          <w:b w:val="false"/>
          <w:bCs w:val="false"/>
          <w:i w:val="false"/>
          <w:iCs w:val="false"/>
          <w:color w:val="1F1F1F"/>
          <w:sz w:val="22"/>
          <w:szCs w:val="22"/>
        </w:rPr>
        <w:t xml:space="preserve">Glubish himself named this gap publicly: federal data records who got the money and how much, but not what it was for or what was delivered. $71.5B of public money over $1M per grant has no recorded outcome. This is a retrospective accountability failure and a prospective governance opportunity.</w:t>
      </w:r>
    </w:p>
    <w:p>
      <w:pPr>
        <w:pStyle w:val="ListParagraph"/>
        <w:numPr>
          <w:ilvl w:val="0"/>
          <w:numId w:val="2"/>
        </w:numPr>
        <w:spacing w:after="80" w:before="0" w:line="320"/>
      </w:pPr>
      <w:r>
        <w:rPr>
          <w:rFonts w:ascii="Calibri" w:cs="Calibri" w:eastAsia="Calibri" w:hAnsi="Calibri"/>
          <w:b/>
          <w:bCs/>
          <w:i w:val="false"/>
          <w:iCs w:val="false"/>
          <w:color w:val="1F1F1F"/>
          <w:sz w:val="22"/>
          <w:szCs w:val="22"/>
        </w:rPr>
        <w:t xml:space="preserve">P3 — The absence of prospective accountability. </w:t>
      </w:r>
      <w:r>
        <w:rPr>
          <w:rFonts w:ascii="Calibri" w:cs="Calibri" w:eastAsia="Calibri" w:hAnsi="Calibri"/>
          <w:b w:val="false"/>
          <w:bCs w:val="false"/>
          <w:i w:val="false"/>
          <w:iCs w:val="false"/>
          <w:color w:val="1F1F1F"/>
          <w:sz w:val="22"/>
          <w:szCs w:val="22"/>
        </w:rPr>
        <w:t xml:space="preserve">Every existing tool in the Canadian public-spending transparency ecosystem is retrospective. None tells a Minister, at the moment of approving a grant, what comparable grants typically commit to and what outcomes they typically achieve. The capability gap is structural, not technical.</w:t>
      </w:r>
    </w:p>
    <w:p>
      <w:pPr>
        <w:pStyle w:val="Heading1"/>
        <w:spacing w:after="240" w:before="480" w:line="320"/>
      </w:pPr>
      <w:r>
        <w:rPr>
          <w:rFonts w:ascii="Calibri" w:cs="Calibri" w:eastAsia="Calibri" w:hAnsi="Calibri"/>
          <w:b/>
          <w:bCs/>
          <w:color w:val="1F1F1F"/>
          <w:sz w:val="44"/>
          <w:szCs w:val="44"/>
        </w:rPr>
        <w:t xml:space="preserve">3 · Goals</w:t>
      </w:r>
    </w:p>
    <w:p>
      <w:pPr>
        <w:pStyle w:val="Heading2"/>
        <w:spacing w:after="180" w:before="360" w:line="320"/>
      </w:pPr>
      <w:r>
        <w:rPr>
          <w:rFonts w:ascii="Calibri" w:cs="Calibri" w:eastAsia="Calibri" w:hAnsi="Calibri"/>
          <w:b/>
          <w:bCs/>
          <w:color w:val="1F1F1F"/>
          <w:sz w:val="32"/>
          <w:szCs w:val="32"/>
        </w:rPr>
        <w:t xml:space="preserve">3.1 Primary goals (the build must achieve all three)</w:t>
      </w:r>
    </w:p>
    <w:p>
      <w:pPr>
        <w:pStyle w:val="ListParagraph"/>
        <w:numPr>
          <w:ilvl w:val="0"/>
          <w:numId w:val="2"/>
        </w:numPr>
        <w:spacing w:after="80" w:before="0" w:line="320"/>
      </w:pPr>
      <w:r>
        <w:rPr>
          <w:rFonts w:ascii="Calibri" w:cs="Calibri" w:eastAsia="Calibri" w:hAnsi="Calibri"/>
          <w:b/>
          <w:bCs/>
          <w:i w:val="false"/>
          <w:iCs w:val="false"/>
          <w:color w:val="0F6E56"/>
          <w:sz w:val="22"/>
          <w:szCs w:val="22"/>
        </w:rPr>
        <w:t xml:space="preserve">G1 </w:t>
      </w:r>
      <w:r>
        <w:rPr>
          <w:rFonts w:ascii="Calibri" w:cs="Calibri" w:eastAsia="Calibri" w:hAnsi="Calibri"/>
          <w:b w:val="false"/>
          <w:bCs w:val="false"/>
          <w:i w:val="false"/>
          <w:iCs w:val="false"/>
          <w:color w:val="1F1F1F"/>
          <w:sz w:val="22"/>
          <w:szCs w:val="22"/>
        </w:rPr>
        <w:t xml:space="preserve">Demonstrate that AI-driven public-spending accountability can be made transparent at the point of decision, through provenance strands and visible governance gates.</w:t>
      </w:r>
    </w:p>
    <w:p>
      <w:pPr>
        <w:pStyle w:val="ListParagraph"/>
        <w:numPr>
          <w:ilvl w:val="0"/>
          <w:numId w:val="2"/>
        </w:numPr>
        <w:spacing w:after="80" w:before="0" w:line="320"/>
      </w:pPr>
      <w:r>
        <w:rPr>
          <w:rFonts w:ascii="Calibri" w:cs="Calibri" w:eastAsia="Calibri" w:hAnsi="Calibri"/>
          <w:b/>
          <w:bCs/>
          <w:i w:val="false"/>
          <w:iCs w:val="false"/>
          <w:color w:val="0F6E56"/>
          <w:sz w:val="22"/>
          <w:szCs w:val="22"/>
        </w:rPr>
        <w:t xml:space="preserve">G2 </w:t>
      </w:r>
      <w:r>
        <w:rPr>
          <w:rFonts w:ascii="Calibri" w:cs="Calibri" w:eastAsia="Calibri" w:hAnsi="Calibri"/>
          <w:b w:val="false"/>
          <w:bCs w:val="false"/>
          <w:i w:val="false"/>
          <w:iCs w:val="false"/>
          <w:color w:val="1F1F1F"/>
          <w:sz w:val="22"/>
          <w:szCs w:val="22"/>
        </w:rPr>
        <w:t xml:space="preserve">Close the $71.5B description gap retrospectively for any flagged grant, by synthesizing one-page Outcome Briefs from public sources with full citation discipline.</w:t>
      </w:r>
    </w:p>
    <w:p>
      <w:pPr>
        <w:pStyle w:val="ListParagraph"/>
        <w:numPr>
          <w:ilvl w:val="0"/>
          <w:numId w:val="2"/>
        </w:numPr>
        <w:spacing w:after="80" w:before="0" w:line="320"/>
      </w:pPr>
      <w:r>
        <w:rPr>
          <w:rFonts w:ascii="Calibri" w:cs="Calibri" w:eastAsia="Calibri" w:hAnsi="Calibri"/>
          <w:b/>
          <w:bCs/>
          <w:i w:val="false"/>
          <w:iCs w:val="false"/>
          <w:color w:val="0F6E56"/>
          <w:sz w:val="22"/>
          <w:szCs w:val="22"/>
        </w:rPr>
        <w:t xml:space="preserve">G3 </w:t>
      </w:r>
      <w:r>
        <w:rPr>
          <w:rFonts w:ascii="Calibri" w:cs="Calibri" w:eastAsia="Calibri" w:hAnsi="Calibri"/>
          <w:b w:val="false"/>
          <w:bCs w:val="false"/>
          <w:i w:val="false"/>
          <w:iCs w:val="false"/>
          <w:color w:val="1F1F1F"/>
          <w:sz w:val="22"/>
          <w:szCs w:val="22"/>
        </w:rPr>
        <w:t xml:space="preserve">Demonstrate a prospective accountability capability — Counterfactual Briefs — that retrieves comparable real grants and synthesizes what briefs in a category typically state, framed as observation rather than prescription.</w:t>
      </w:r>
    </w:p>
    <w:p>
      <w:pPr>
        <w:pStyle w:val="Heading2"/>
        <w:spacing w:after="180" w:before="360" w:line="320"/>
      </w:pPr>
      <w:r>
        <w:rPr>
          <w:rFonts w:ascii="Calibri" w:cs="Calibri" w:eastAsia="Calibri" w:hAnsi="Calibri"/>
          <w:b/>
          <w:bCs/>
          <w:color w:val="1F1F1F"/>
          <w:sz w:val="32"/>
          <w:szCs w:val="32"/>
        </w:rPr>
        <w:t xml:space="preserve">3.2 Secondary goals</w:t>
      </w:r>
    </w:p>
    <w:p>
      <w:pPr>
        <w:pStyle w:val="ListParagraph"/>
        <w:numPr>
          <w:ilvl w:val="0"/>
          <w:numId w:val="2"/>
        </w:numPr>
        <w:spacing w:after="80" w:before="0" w:line="320"/>
      </w:pPr>
      <w:r>
        <w:rPr>
          <w:rFonts w:ascii="Calibri" w:cs="Calibri" w:eastAsia="Calibri" w:hAnsi="Calibri"/>
          <w:b/>
          <w:bCs/>
          <w:i w:val="false"/>
          <w:iCs w:val="false"/>
          <w:color w:val="0F6E56"/>
          <w:sz w:val="22"/>
          <w:szCs w:val="22"/>
        </w:rPr>
        <w:t xml:space="preserve">G4 </w:t>
      </w:r>
      <w:r>
        <w:rPr>
          <w:rFonts w:ascii="Calibri" w:cs="Calibri" w:eastAsia="Calibri" w:hAnsi="Calibri"/>
          <w:b w:val="false"/>
          <w:bCs w:val="false"/>
          <w:i w:val="false"/>
          <w:iCs w:val="false"/>
          <w:color w:val="1F1F1F"/>
          <w:sz w:val="22"/>
          <w:szCs w:val="22"/>
        </w:rPr>
        <w:t xml:space="preserve">Demonstrate the Pythagorithm Proof Methodology as a working primitive in production, without ever pitching it. Demand pull, not push.</w:t>
      </w:r>
    </w:p>
    <w:p>
      <w:pPr>
        <w:pStyle w:val="ListParagraph"/>
        <w:numPr>
          <w:ilvl w:val="0"/>
          <w:numId w:val="2"/>
        </w:numPr>
        <w:spacing w:after="80" w:before="0" w:line="320"/>
      </w:pPr>
      <w:r>
        <w:rPr>
          <w:rFonts w:ascii="Calibri" w:cs="Calibri" w:eastAsia="Calibri" w:hAnsi="Calibri"/>
          <w:b/>
          <w:bCs/>
          <w:i w:val="false"/>
          <w:iCs w:val="false"/>
          <w:color w:val="0F6E56"/>
          <w:sz w:val="22"/>
          <w:szCs w:val="22"/>
        </w:rPr>
        <w:t xml:space="preserve">G5 </w:t>
      </w:r>
      <w:r>
        <w:rPr>
          <w:rFonts w:ascii="Calibri" w:cs="Calibri" w:eastAsia="Calibri" w:hAnsi="Calibri"/>
          <w:b w:val="false"/>
          <w:bCs w:val="false"/>
          <w:i w:val="false"/>
          <w:iCs w:val="false"/>
          <w:color w:val="1F1F1F"/>
          <w:sz w:val="22"/>
          <w:szCs w:val="22"/>
        </w:rPr>
        <w:t xml:space="preserve">Adopt three architectural primitives from the Intelligence Manifold (Alford, 2026) — strata, strands, bounded perception — as visible discipline rather than as implementation, with honest disclosure of what we are and are not doing.</w:t>
      </w:r>
    </w:p>
    <w:p>
      <w:pPr>
        <w:pStyle w:val="Heading2"/>
        <w:spacing w:after="180" w:before="360" w:line="320"/>
      </w:pPr>
      <w:r>
        <w:rPr>
          <w:rFonts w:ascii="Calibri" w:cs="Calibri" w:eastAsia="Calibri" w:hAnsi="Calibri"/>
          <w:b/>
          <w:bCs/>
          <w:color w:val="1F1F1F"/>
          <w:sz w:val="32"/>
          <w:szCs w:val="32"/>
        </w:rPr>
        <w:t xml:space="preserve">3.3 Non-goals (these are explicitly out of scope)</w:t>
      </w:r>
    </w:p>
    <w:p>
      <w:pPr>
        <w:pStyle w:val="ListParagraph"/>
        <w:numPr>
          <w:ilvl w:val="0"/>
          <w:numId w:val="2"/>
        </w:numPr>
        <w:spacing w:after="80" w:before="0" w:line="320"/>
      </w:pPr>
      <w:r>
        <w:rPr>
          <w:rFonts w:ascii="Calibri" w:cs="Calibri" w:eastAsia="Calibri" w:hAnsi="Calibri"/>
          <w:color w:val="1F1F1F"/>
          <w:sz w:val="22"/>
          <w:szCs w:val="22"/>
        </w:rPr>
        <w:t xml:space="preserve">Any sales conversation about Pythagorithm products, customer pipeline, federal market positioning, or partnership offers</w:t>
      </w:r>
    </w:p>
    <w:p>
      <w:pPr>
        <w:pStyle w:val="ListParagraph"/>
        <w:numPr>
          <w:ilvl w:val="0"/>
          <w:numId w:val="2"/>
        </w:numPr>
        <w:spacing w:after="80" w:before="0" w:line="320"/>
      </w:pPr>
      <w:r>
        <w:rPr>
          <w:rFonts w:ascii="Calibri" w:cs="Calibri" w:eastAsia="Calibri" w:hAnsi="Calibri"/>
          <w:color w:val="1F1F1F"/>
          <w:sz w:val="22"/>
          <w:szCs w:val="22"/>
        </w:rPr>
        <w:t xml:space="preserve">Any reference to GovCore, AIOS internals, ServiceNow Build Partner status, SDVOSB classification, or Carahsoft distribution</w:t>
      </w:r>
    </w:p>
    <w:p>
      <w:pPr>
        <w:pStyle w:val="ListParagraph"/>
        <w:numPr>
          <w:ilvl w:val="0"/>
          <w:numId w:val="2"/>
        </w:numPr>
        <w:spacing w:after="80" w:before="0" w:line="320"/>
      </w:pPr>
      <w:r>
        <w:rPr>
          <w:rFonts w:ascii="Calibri" w:cs="Calibri" w:eastAsia="Calibri" w:hAnsi="Calibri"/>
          <w:color w:val="1F1F1F"/>
          <w:sz w:val="22"/>
          <w:szCs w:val="22"/>
        </w:rPr>
        <w:t xml:space="preserve">Any claim about a named individual person without entity-resolution confidence ≥ 0.95 OR membership in the publicly-named Glubish list</w:t>
      </w:r>
    </w:p>
    <w:p>
      <w:pPr>
        <w:pStyle w:val="ListParagraph"/>
        <w:numPr>
          <w:ilvl w:val="0"/>
          <w:numId w:val="2"/>
        </w:numPr>
        <w:spacing w:after="80" w:before="0" w:line="320"/>
      </w:pPr>
      <w:r>
        <w:rPr>
          <w:rFonts w:ascii="Calibri" w:cs="Calibri" w:eastAsia="Calibri" w:hAnsi="Calibri"/>
          <w:color w:val="1F1F1F"/>
          <w:sz w:val="22"/>
          <w:szCs w:val="22"/>
        </w:rPr>
        <w:t xml:space="preserve">Any extension to closed datasets, paid databases, or sources requiring authentication</w:t>
      </w:r>
    </w:p>
    <w:p>
      <w:pPr>
        <w:pStyle w:val="ListParagraph"/>
        <w:numPr>
          <w:ilvl w:val="0"/>
          <w:numId w:val="2"/>
        </w:numPr>
        <w:spacing w:after="80" w:before="0" w:line="320"/>
      </w:pPr>
      <w:r>
        <w:rPr>
          <w:rFonts w:ascii="Calibri" w:cs="Calibri" w:eastAsia="Calibri" w:hAnsi="Calibri"/>
          <w:color w:val="1F1F1F"/>
          <w:sz w:val="22"/>
          <w:szCs w:val="22"/>
        </w:rPr>
        <w:t xml:space="preserve">Any feature requiring user accounts, login flows, or persistent state</w:t>
      </w:r>
    </w:p>
    <w:p>
      <w:pPr>
        <w:pStyle w:val="ListParagraph"/>
        <w:numPr>
          <w:ilvl w:val="0"/>
          <w:numId w:val="2"/>
        </w:numPr>
        <w:spacing w:after="80" w:before="0" w:line="320"/>
      </w:pPr>
      <w:r>
        <w:rPr>
          <w:rFonts w:ascii="Calibri" w:cs="Calibri" w:eastAsia="Calibri" w:hAnsi="Calibri"/>
          <w:color w:val="1F1F1F"/>
          <w:sz w:val="22"/>
          <w:szCs w:val="22"/>
        </w:rPr>
        <w:t xml:space="preserve">Any production-grade scaling work, monitoring infrastructure, or operational instrumentation beyond what is needed to keep one demo URL alive for ten hours</w:t>
      </w:r>
    </w:p>
    <w:p>
      <w:r>
        <w:br w:type="page"/>
      </w:r>
    </w:p>
    <w:p>
      <w:pPr>
        <w:pStyle w:val="Heading1"/>
        <w:spacing w:after="240" w:before="480" w:line="320"/>
      </w:pPr>
      <w:r>
        <w:rPr>
          <w:rFonts w:ascii="Calibri" w:cs="Calibri" w:eastAsia="Calibri" w:hAnsi="Calibri"/>
          <w:b/>
          <w:bCs/>
          <w:color w:val="1F1F1F"/>
          <w:sz w:val="44"/>
          <w:szCs w:val="44"/>
        </w:rPr>
        <w:t xml:space="preserve">4 · Users and stakeholders</w:t>
      </w:r>
    </w:p>
    <w:p>
      <w:pPr>
        <w:spacing w:after="120" w:before="0" w:line="320"/>
        <w:jc w:val="left"/>
      </w:pPr>
      <w:r>
        <w:rPr>
          <w:rFonts w:ascii="Calibri" w:cs="Calibri" w:eastAsia="Calibri" w:hAnsi="Calibri"/>
          <w:b w:val="false"/>
          <w:bCs w:val="false"/>
          <w:i w:val="false"/>
          <w:iCs w:val="false"/>
          <w:color w:val="1F1F1F"/>
          <w:sz w:val="22"/>
          <w:szCs w:val="22"/>
        </w:rPr>
        <w:t xml:space="preserve">The product is built for five distinct user personas, each with a different interaction pattern and success criterion. The UI must serve all five from a single URL without persona-specific configuration.</w:t>
      </w:r>
    </w:p>
    <w:tbl>
      <w:tblPr>
        <w:tblW w:type="dxa" w:w="9360"/>
        <w:tblBorders>
          <w:top w:val="single" w:color="D3D1C7" w:sz="6"/>
          <w:left w:val="single" w:color="D3D1C7" w:sz="6"/>
          <w:bottom w:val="single" w:color="D3D1C7" w:sz="6"/>
          <w:right w:val="single" w:color="D3D1C7" w:sz="6"/>
          <w:insideH w:val="single" w:color="D3D1C7" w:sz="4"/>
          <w:insideV w:val="single" w:color="D3D1C7" w:sz="4"/>
        </w:tblBorders>
      </w:tblPr>
      <w:tblGrid>
        <w:gridCol w:w="2400"/>
        <w:gridCol w:w="3200"/>
        <w:gridCol w:w="3760"/>
      </w:tblGrid>
      <w:tr>
        <w:trPr>
          <w:tblHeader/>
        </w:trPr>
        <w:tc>
          <w:tcPr>
            <w:tcW w:type="dxa" w:w="2400"/>
            <w:shd w:fill="F1EFE8" w:val="clear"/>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Persona</w:t>
            </w:r>
          </w:p>
        </w:tc>
        <w:tc>
          <w:tcPr>
            <w:tcW w:type="dxa" w:w="3200"/>
            <w:shd w:fill="F1EFE8" w:val="clear"/>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Primary interaction</w:t>
            </w:r>
          </w:p>
        </w:tc>
        <w:tc>
          <w:tcPr>
            <w:tcW w:type="dxa" w:w="3760"/>
            <w:shd w:fill="F1EFE8" w:val="clear"/>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Success criterion</w:t>
            </w:r>
          </w:p>
        </w:tc>
      </w:tr>
      <w:tr>
        <w:tc>
          <w:tcPr>
            <w:tcW w:type="dxa" w:w="24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Provincial / Federal Minister</w:t>
            </w:r>
          </w:p>
        </w:tc>
        <w:tc>
          <w:tcPr>
            <w:tcW w:type="dxa" w:w="32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Types name of own portfolio or constituency; clicks one Brief</w:t>
            </w:r>
          </w:p>
        </w:tc>
        <w:tc>
          <w:tcPr>
            <w:tcW w:type="dxa" w:w="37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Recognizes the gap between stated commitment and recorded outcome in their own data within 30 seconds</w:t>
            </w:r>
          </w:p>
        </w:tc>
      </w:tr>
      <w:tr>
        <w:tc>
          <w:tcPr>
            <w:tcW w:type="dxa" w:w="24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Deputy Minister</w:t>
            </w:r>
          </w:p>
        </w:tc>
        <w:tc>
          <w:tcPr>
            <w:tcW w:type="dxa" w:w="32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Types department name; explores Glass Box findings; opens one Proof Drawer</w:t>
            </w:r>
          </w:p>
        </w:tc>
        <w:tc>
          <w:tcPr>
            <w:tcW w:type="dxa" w:w="37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Understands the calibration discipline and provenance model without it being explained</w:t>
            </w:r>
          </w:p>
        </w:tc>
      </w:tr>
      <w:tr>
        <w:tc>
          <w:tcPr>
            <w:tcW w:type="dxa" w:w="24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AG of Canada / Provincial AG staff</w:t>
            </w:r>
          </w:p>
        </w:tc>
        <w:tc>
          <w:tcPr>
            <w:tcW w:type="dxa" w:w="32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Types program name; opens Counterfactual Brief; verifies citations</w:t>
            </w:r>
          </w:p>
        </w:tc>
        <w:tc>
          <w:tcPr>
            <w:tcW w:type="dxa" w:w="37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Verifies that every claim has a traceable source and no claim exceeds the evidence</w:t>
            </w:r>
          </w:p>
        </w:tc>
      </w:tr>
      <w:tr>
        <w:tc>
          <w:tcPr>
            <w:tcW w:type="dxa" w:w="24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Senior public servant (program manager)</w:t>
            </w:r>
          </w:p>
        </w:tc>
        <w:tc>
          <w:tcPr>
            <w:tcW w:type="dxa" w:w="32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Types entity name; reviews Glass Box scoring rationale</w:t>
            </w:r>
          </w:p>
        </w:tc>
        <w:tc>
          <w:tcPr>
            <w:tcW w:type="dxa" w:w="37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Recognizes the scoring as defensible and the language as calibrated</w:t>
            </w:r>
          </w:p>
        </w:tc>
      </w:tr>
      <w:tr>
        <w:tc>
          <w:tcPr>
            <w:tcW w:type="dxa" w:w="24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Journalist (Research Money or similar)</w:t>
            </w:r>
          </w:p>
        </w:tc>
        <w:tc>
          <w:tcPr>
            <w:tcW w:type="dxa" w:w="32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Pokes for soft spots; tries to make the system overclaim</w:t>
            </w:r>
          </w:p>
        </w:tc>
        <w:tc>
          <w:tcPr>
            <w:tcW w:type="dxa" w:w="37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Cannot induce the system to make causal, intentional, or wrongdoing claims</w:t>
            </w:r>
          </w:p>
        </w:tc>
      </w:tr>
    </w:tbl>
    <w:p>
      <w:r>
        <w:br w:type="page"/>
      </w:r>
    </w:p>
    <w:p>
      <w:pPr>
        <w:pStyle w:val="Heading1"/>
        <w:spacing w:after="240" w:before="480" w:line="320"/>
      </w:pPr>
      <w:r>
        <w:rPr>
          <w:rFonts w:ascii="Calibri" w:cs="Calibri" w:eastAsia="Calibri" w:hAnsi="Calibri"/>
          <w:b/>
          <w:bCs/>
          <w:color w:val="1F1F1F"/>
          <w:sz w:val="44"/>
          <w:szCs w:val="44"/>
        </w:rPr>
        <w:t xml:space="preserve">5 · Functional requirements</w:t>
      </w:r>
    </w:p>
    <w:p>
      <w:pPr>
        <w:pStyle w:val="Heading2"/>
        <w:spacing w:after="180" w:before="360" w:line="320"/>
      </w:pPr>
      <w:r>
        <w:rPr>
          <w:rFonts w:ascii="Calibri" w:cs="Calibri" w:eastAsia="Calibri" w:hAnsi="Calibri"/>
          <w:b/>
          <w:bCs/>
          <w:color w:val="1F1F1F"/>
          <w:sz w:val="32"/>
          <w:szCs w:val="32"/>
        </w:rPr>
        <w:t xml:space="preserve">5.1 Surface 1 — The Glass Box (FR-GB)</w:t>
      </w:r>
    </w:p>
    <w:p>
      <w:pPr>
        <w:spacing w:after="120" w:before="0" w:line="320"/>
        <w:jc w:val="left"/>
      </w:pPr>
      <w:r>
        <w:rPr>
          <w:rFonts w:ascii="Calibri" w:cs="Calibri" w:eastAsia="Calibri" w:hAnsi="Calibri"/>
          <w:b w:val="false"/>
          <w:bCs w:val="false"/>
          <w:i w:val="false"/>
          <w:iCs w:val="false"/>
          <w:color w:val="1F1F1F"/>
          <w:sz w:val="22"/>
          <w:szCs w:val="22"/>
        </w:rPr>
        <w:t xml:space="preserve">Analyst-facing findings feed where every score carries a Pythagorithm Proof badge. Click any finding to open the Proof Drawer with the tier-by-tier reasoning trace.</w:t>
      </w:r>
    </w:p>
    <w:tbl>
      <w:tblPr>
        <w:tblW w:type="dxa" w:w="9360"/>
        <w:tblBorders>
          <w:top w:val="single" w:color="D3D1C7" w:sz="6"/>
          <w:left w:val="single" w:color="D3D1C7" w:sz="6"/>
          <w:bottom w:val="single" w:color="D3D1C7" w:sz="6"/>
          <w:right w:val="single" w:color="D3D1C7" w:sz="6"/>
          <w:insideH w:val="single" w:color="D3D1C7" w:sz="4"/>
          <w:insideV w:val="single" w:color="D3D1C7" w:sz="4"/>
        </w:tblBorders>
      </w:tblPr>
      <w:tblGrid>
        <w:gridCol w:w="1400"/>
        <w:gridCol w:w="6760"/>
        <w:gridCol w:w="1200"/>
      </w:tblGrid>
      <w:tr>
        <w:trPr>
          <w:tblHeader/>
        </w:trPr>
        <w:tc>
          <w:tcPr>
            <w:tcW w:type="dxa" w:w="1400"/>
            <w:shd w:fill="F1EFE8" w:val="clear"/>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ID</w:t>
            </w:r>
          </w:p>
        </w:tc>
        <w:tc>
          <w:tcPr>
            <w:tcW w:type="dxa" w:w="6760"/>
            <w:shd w:fill="F1EFE8" w:val="clear"/>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Requirement</w:t>
            </w:r>
          </w:p>
        </w:tc>
        <w:tc>
          <w:tcPr>
            <w:tcW w:type="dxa" w:w="1200"/>
            <w:shd w:fill="F1EFE8" w:val="clear"/>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Priority</w:t>
            </w:r>
          </w:p>
        </w:tc>
      </w:tr>
      <w:tr>
        <w:tc>
          <w:tcPr>
            <w:tcW w:type="dxa" w:w="1400"/>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FR-GB-1</w:t>
            </w:r>
          </w:p>
        </w:tc>
        <w:tc>
          <w:tcPr>
            <w:tcW w:type="dxa" w:w="67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Display a feed of at least 50 risk-scored entities, sortable by score, type (charity / federal grant / AB grant), and most-recent-update</w:t>
            </w:r>
          </w:p>
        </w:tc>
        <w:tc>
          <w:tcPr>
            <w:tcW w:type="dxa" w:w="12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Must</w:t>
            </w:r>
          </w:p>
        </w:tc>
      </w:tr>
      <w:tr>
        <w:tc>
          <w:tcPr>
            <w:tcW w:type="dxa" w:w="1400"/>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FR-GB-2</w:t>
            </w:r>
          </w:p>
        </w:tc>
        <w:tc>
          <w:tcPr>
            <w:tcW w:type="dxa" w:w="67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Each finding card shows: entity name (Fraunces display), risk score (JetBrains Mono with denominator), one-sentence summary, Proof badge (sage if all gates passed; ember if any tier flagged)</w:t>
            </w:r>
          </w:p>
        </w:tc>
        <w:tc>
          <w:tcPr>
            <w:tcW w:type="dxa" w:w="12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Must</w:t>
            </w:r>
          </w:p>
        </w:tc>
      </w:tr>
      <w:tr>
        <w:tc>
          <w:tcPr>
            <w:tcW w:type="dxa" w:w="1400"/>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FR-GB-3</w:t>
            </w:r>
          </w:p>
        </w:tc>
        <w:tc>
          <w:tcPr>
            <w:tcW w:type="dxa" w:w="67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Clicking the Proof badge opens the Proof Drawer with all four tier outputs visible (input, contextual, output, audit)</w:t>
            </w:r>
          </w:p>
        </w:tc>
        <w:tc>
          <w:tcPr>
            <w:tcW w:type="dxa" w:w="12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Must</w:t>
            </w:r>
          </w:p>
        </w:tc>
      </w:tr>
      <w:tr>
        <w:tc>
          <w:tcPr>
            <w:tcW w:type="dxa" w:w="1400"/>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FR-GB-4</w:t>
            </w:r>
          </w:p>
        </w:tc>
        <w:tc>
          <w:tcPr>
            <w:tcW w:type="dxa" w:w="67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Clicking the Strand icon in the Proof Drawer animates a curved SVG path from the badge to a source-row panel showing the underlying database row</w:t>
            </w:r>
          </w:p>
        </w:tc>
        <w:tc>
          <w:tcPr>
            <w:tcW w:type="dxa" w:w="12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Must</w:t>
            </w:r>
          </w:p>
        </w:tc>
      </w:tr>
      <w:tr>
        <w:tc>
          <w:tcPr>
            <w:tcW w:type="dxa" w:w="1400"/>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FR-GB-5</w:t>
            </w:r>
          </w:p>
        </w:tc>
        <w:tc>
          <w:tcPr>
            <w:tcW w:type="dxa" w:w="67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Filter controls: by risk tier (CRITICAL, HIGH, MEDIUM, LOW), by entity type, by jurisdiction (federal, AB, CRA-registered)</w:t>
            </w:r>
          </w:p>
        </w:tc>
        <w:tc>
          <w:tcPr>
            <w:tcW w:type="dxa" w:w="12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Should</w:t>
            </w:r>
          </w:p>
        </w:tc>
      </w:tr>
      <w:tr>
        <w:tc>
          <w:tcPr>
            <w:tcW w:type="dxa" w:w="1400"/>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FR-GB-6</w:t>
            </w:r>
          </w:p>
        </w:tc>
        <w:tc>
          <w:tcPr>
            <w:tcW w:type="dxa" w:w="67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Search box accepts entity name, postal code, BN, or program code</w:t>
            </w:r>
          </w:p>
        </w:tc>
        <w:tc>
          <w:tcPr>
            <w:tcW w:type="dxa" w:w="12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Should</w:t>
            </w:r>
          </w:p>
        </w:tc>
      </w:tr>
      <w:tr>
        <w:tc>
          <w:tcPr>
            <w:tcW w:type="dxa" w:w="1400"/>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FR-GB-7</w:t>
            </w:r>
          </w:p>
        </w:tc>
        <w:tc>
          <w:tcPr>
            <w:tcW w:type="dxa" w:w="67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Strata Panel renders in upper-right showing currently-active agent traversing strata</w:t>
            </w:r>
          </w:p>
        </w:tc>
        <w:tc>
          <w:tcPr>
            <w:tcW w:type="dxa" w:w="12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Could</w:t>
            </w:r>
          </w:p>
        </w:tc>
      </w:tr>
    </w:tbl>
    <w:p>
      <w:pPr>
        <w:spacing w:after="200" w:before="0" w:line="320"/>
        <w:jc w:val="left"/>
      </w:pPr>
      <w:r>
        <w:rPr>
          <w:rFonts w:ascii="Calibri" w:cs="Calibri" w:eastAsia="Calibri" w:hAnsi="Calibri"/>
          <w:b w:val="false"/>
          <w:bCs w:val="false"/>
          <w:i w:val="false"/>
          <w:iCs w:val="false"/>
          <w:color w:val="1F1F1F"/>
          <w:sz w:val="22"/>
          <w:szCs w:val="22"/>
        </w:rPr>
        <w:t xml:space="preserve"/>
      </w:r>
    </w:p>
    <w:p>
      <w:pPr>
        <w:pStyle w:val="Heading2"/>
        <w:spacing w:after="180" w:before="360" w:line="320"/>
      </w:pPr>
      <w:r>
        <w:rPr>
          <w:rFonts w:ascii="Calibri" w:cs="Calibri" w:eastAsia="Calibri" w:hAnsi="Calibri"/>
          <w:b/>
          <w:bCs/>
          <w:color w:val="1F1F1F"/>
          <w:sz w:val="32"/>
          <w:szCs w:val="32"/>
        </w:rPr>
        <w:t xml:space="preserve">5.2 Surface 2 — Outcome Brief (FR-OB)</w:t>
      </w:r>
    </w:p>
    <w:p>
      <w:pPr>
        <w:spacing w:after="120" w:before="0" w:line="320"/>
        <w:jc w:val="left"/>
      </w:pPr>
      <w:r>
        <w:rPr>
          <w:rFonts w:ascii="Calibri" w:cs="Calibri" w:eastAsia="Calibri" w:hAnsi="Calibri"/>
          <w:b w:val="false"/>
          <w:bCs w:val="false"/>
          <w:i w:val="false"/>
          <w:iCs w:val="false"/>
          <w:color w:val="1F1F1F"/>
          <w:sz w:val="22"/>
          <w:szCs w:val="22"/>
        </w:rPr>
        <w:t xml:space="preserve">For any grant &gt; $1M with no description on file, generate a one-page synthesized brief from external public sources, with full citation chain.</w:t>
      </w:r>
    </w:p>
    <w:tbl>
      <w:tblPr>
        <w:tblW w:type="dxa" w:w="9360"/>
        <w:tblBorders>
          <w:top w:val="single" w:color="D3D1C7" w:sz="6"/>
          <w:left w:val="single" w:color="D3D1C7" w:sz="6"/>
          <w:bottom w:val="single" w:color="D3D1C7" w:sz="6"/>
          <w:right w:val="single" w:color="D3D1C7" w:sz="6"/>
          <w:insideH w:val="single" w:color="D3D1C7" w:sz="4"/>
          <w:insideV w:val="single" w:color="D3D1C7" w:sz="4"/>
        </w:tblBorders>
      </w:tblPr>
      <w:tblGrid>
        <w:gridCol w:w="1400"/>
        <w:gridCol w:w="6760"/>
        <w:gridCol w:w="1200"/>
      </w:tblGrid>
      <w:tr>
        <w:trPr>
          <w:tblHeader/>
        </w:trPr>
        <w:tc>
          <w:tcPr>
            <w:tcW w:type="dxa" w:w="1400"/>
            <w:shd w:fill="F1EFE8" w:val="clear"/>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ID</w:t>
            </w:r>
          </w:p>
        </w:tc>
        <w:tc>
          <w:tcPr>
            <w:tcW w:type="dxa" w:w="6760"/>
            <w:shd w:fill="F1EFE8" w:val="clear"/>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Requirement</w:t>
            </w:r>
          </w:p>
        </w:tc>
        <w:tc>
          <w:tcPr>
            <w:tcW w:type="dxa" w:w="1200"/>
            <w:shd w:fill="F1EFE8" w:val="clear"/>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Priority</w:t>
            </w:r>
          </w:p>
        </w:tc>
      </w:tr>
      <w:tr>
        <w:tc>
          <w:tcPr>
            <w:tcW w:type="dxa" w:w="1400"/>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FR-OB-1</w:t>
            </w:r>
          </w:p>
        </w:tc>
        <w:tc>
          <w:tcPr>
            <w:tcW w:type="dxa" w:w="67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Accept any entity_id from the Glass Box and produce an Outcome Brief in &lt; 8 seconds (cached) or &lt; 25 seconds (cold)</w:t>
            </w:r>
          </w:p>
        </w:tc>
        <w:tc>
          <w:tcPr>
            <w:tcW w:type="dxa" w:w="12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Must</w:t>
            </w:r>
          </w:p>
        </w:tc>
      </w:tr>
      <w:tr>
        <w:tc>
          <w:tcPr>
            <w:tcW w:type="dxa" w:w="1400"/>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FR-OB-2</w:t>
            </w:r>
          </w:p>
        </w:tc>
        <w:tc>
          <w:tcPr>
            <w:tcW w:type="dxa" w:w="67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Brief structure: Fraunces display headline (entity name), pull quote (most authoritative single finding), body (3-5 paragraphs in General Sans), inline data viz (200px max — sparkline or small bar chart), citations as marginal notes, Proof token strip across bottom</w:t>
            </w:r>
          </w:p>
        </w:tc>
        <w:tc>
          <w:tcPr>
            <w:tcW w:type="dxa" w:w="12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Must</w:t>
            </w:r>
          </w:p>
        </w:tc>
      </w:tr>
      <w:tr>
        <w:tc>
          <w:tcPr>
            <w:tcW w:type="dxa" w:w="1400"/>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FR-OB-3</w:t>
            </w:r>
          </w:p>
        </w:tc>
        <w:tc>
          <w:tcPr>
            <w:tcW w:type="dxa" w:w="67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Every claim sentence carries at least one citation pointer to the citation_registry table</w:t>
            </w:r>
          </w:p>
        </w:tc>
        <w:tc>
          <w:tcPr>
            <w:tcW w:type="dxa" w:w="12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Must</w:t>
            </w:r>
          </w:p>
        </w:tc>
      </w:tr>
      <w:tr>
        <w:tc>
          <w:tcPr>
            <w:tcW w:type="dxa" w:w="1400"/>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FR-OB-4</w:t>
            </w:r>
          </w:p>
        </w:tc>
        <w:tc>
          <w:tcPr>
            <w:tcW w:type="dxa" w:w="67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No direct quote exceeds 15 words; maximum one direct quote per source; remaining quotations are paraphrased with attribution</w:t>
            </w:r>
          </w:p>
        </w:tc>
        <w:tc>
          <w:tcPr>
            <w:tcW w:type="dxa" w:w="12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Must</w:t>
            </w:r>
          </w:p>
        </w:tc>
      </w:tr>
      <w:tr>
        <w:tc>
          <w:tcPr>
            <w:tcW w:type="dxa" w:w="1400"/>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FR-OB-5</w:t>
            </w:r>
          </w:p>
        </w:tc>
        <w:tc>
          <w:tcPr>
            <w:tcW w:type="dxa" w:w="67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If no high-authority sources exist for an entity, the Brief returns a structured 'insufficient evidence to synthesize' page rather than fabricating content</w:t>
            </w:r>
          </w:p>
        </w:tc>
        <w:tc>
          <w:tcPr>
            <w:tcW w:type="dxa" w:w="12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Must</w:t>
            </w:r>
          </w:p>
        </w:tc>
      </w:tr>
      <w:tr>
        <w:tc>
          <w:tcPr>
            <w:tcW w:type="dxa" w:w="1400"/>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FR-OB-6</w:t>
            </w:r>
          </w:p>
        </w:tc>
        <w:tc>
          <w:tcPr>
            <w:tcW w:type="dxa" w:w="67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Print preview at A4 produces publication-quality output (the brief should look like something a Minister would print and read)</w:t>
            </w:r>
          </w:p>
        </w:tc>
        <w:tc>
          <w:tcPr>
            <w:tcW w:type="dxa" w:w="12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Should</w:t>
            </w:r>
          </w:p>
        </w:tc>
      </w:tr>
      <w:tr>
        <w:tc>
          <w:tcPr>
            <w:tcW w:type="dxa" w:w="1400"/>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FR-OB-7</w:t>
            </w:r>
          </w:p>
        </w:tc>
        <w:tc>
          <w:tcPr>
            <w:tcW w:type="dxa" w:w="67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Brief is reachable at a permalink URL of the form /brief/outcome/{slug}, suitable for sharing</w:t>
            </w:r>
          </w:p>
        </w:tc>
        <w:tc>
          <w:tcPr>
            <w:tcW w:type="dxa" w:w="12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Should</w:t>
            </w:r>
          </w:p>
        </w:tc>
      </w:tr>
    </w:tbl>
    <w:p>
      <w:pPr>
        <w:spacing w:after="200" w:before="0" w:line="320"/>
        <w:jc w:val="left"/>
      </w:pPr>
      <w:r>
        <w:rPr>
          <w:rFonts w:ascii="Calibri" w:cs="Calibri" w:eastAsia="Calibri" w:hAnsi="Calibri"/>
          <w:b w:val="false"/>
          <w:bCs w:val="false"/>
          <w:i w:val="false"/>
          <w:iCs w:val="false"/>
          <w:color w:val="1F1F1F"/>
          <w:sz w:val="22"/>
          <w:szCs w:val="22"/>
        </w:rPr>
        <w:t xml:space="preserve"/>
      </w:r>
    </w:p>
    <w:p>
      <w:pPr>
        <w:pStyle w:val="Heading2"/>
        <w:spacing w:after="180" w:before="360" w:line="320"/>
      </w:pPr>
      <w:r>
        <w:rPr>
          <w:rFonts w:ascii="Calibri" w:cs="Calibri" w:eastAsia="Calibri" w:hAnsi="Calibri"/>
          <w:b/>
          <w:bCs/>
          <w:color w:val="1F1F1F"/>
          <w:sz w:val="32"/>
          <w:szCs w:val="32"/>
        </w:rPr>
        <w:t xml:space="preserve">5.3 Surface 3 — Counterfactual Brief (FR-CF)</w:t>
      </w:r>
    </w:p>
    <w:p>
      <w:pPr>
        <w:spacing w:after="120" w:before="0" w:line="320"/>
        <w:jc w:val="left"/>
      </w:pPr>
      <w:r>
        <w:rPr>
          <w:rFonts w:ascii="Calibri" w:cs="Calibri" w:eastAsia="Calibri" w:hAnsi="Calibri"/>
          <w:b w:val="false"/>
          <w:bCs w:val="false"/>
          <w:i w:val="false"/>
          <w:iCs w:val="false"/>
          <w:color w:val="1F1F1F"/>
          <w:sz w:val="22"/>
          <w:szCs w:val="22"/>
        </w:rPr>
        <w:t xml:space="preserve">For any grant missing a description, retrieve k-nearest neighbors among grants WITH descriptions and synthesize what briefs in this category typically state. Framing is observation, never prescription.</w:t>
      </w:r>
    </w:p>
    <w:tbl>
      <w:tblPr>
        <w:tblW w:type="dxa" w:w="9360"/>
        <w:tblBorders>
          <w:top w:val="single" w:color="D3D1C7" w:sz="6"/>
          <w:left w:val="single" w:color="D3D1C7" w:sz="6"/>
          <w:bottom w:val="single" w:color="D3D1C7" w:sz="6"/>
          <w:right w:val="single" w:color="D3D1C7" w:sz="6"/>
          <w:insideH w:val="single" w:color="D3D1C7" w:sz="4"/>
          <w:insideV w:val="single" w:color="D3D1C7" w:sz="4"/>
        </w:tblBorders>
      </w:tblPr>
      <w:tblGrid>
        <w:gridCol w:w="1400"/>
        <w:gridCol w:w="6760"/>
        <w:gridCol w:w="1200"/>
      </w:tblGrid>
      <w:tr>
        <w:trPr>
          <w:tblHeader/>
        </w:trPr>
        <w:tc>
          <w:tcPr>
            <w:tcW w:type="dxa" w:w="1400"/>
            <w:shd w:fill="F1EFE8" w:val="clear"/>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ID</w:t>
            </w:r>
          </w:p>
        </w:tc>
        <w:tc>
          <w:tcPr>
            <w:tcW w:type="dxa" w:w="6760"/>
            <w:shd w:fill="F1EFE8" w:val="clear"/>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Requirement</w:t>
            </w:r>
          </w:p>
        </w:tc>
        <w:tc>
          <w:tcPr>
            <w:tcW w:type="dxa" w:w="1200"/>
            <w:shd w:fill="F1EFE8" w:val="clear"/>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Priority</w:t>
            </w:r>
          </w:p>
        </w:tc>
      </w:tr>
      <w:tr>
        <w:tc>
          <w:tcPr>
            <w:tcW w:type="dxa" w:w="1400"/>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FR-CF-1</w:t>
            </w:r>
          </w:p>
        </w:tc>
        <w:tc>
          <w:tcPr>
            <w:tcW w:type="dxa" w:w="67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Accept any grant_id with NULL or empty description and return a Counterfactual Brief in &lt; 10 seconds (cached) or &lt; 30 seconds (cold)</w:t>
            </w:r>
          </w:p>
        </w:tc>
        <w:tc>
          <w:tcPr>
            <w:tcW w:type="dxa" w:w="12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Must</w:t>
            </w:r>
          </w:p>
        </w:tc>
      </w:tr>
      <w:tr>
        <w:tc>
          <w:tcPr>
            <w:tcW w:type="dxa" w:w="1400"/>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FR-CF-2</w:t>
            </w:r>
          </w:p>
        </w:tc>
        <w:tc>
          <w:tcPr>
            <w:tcW w:type="dxa" w:w="67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Retrieval method: k-nearest neighbors over (program_code, dollar_range_bucket, recipient_type, fiscal_year), where k = 8-15 grants WITH descriptions</w:t>
            </w:r>
          </w:p>
        </w:tc>
        <w:tc>
          <w:tcPr>
            <w:tcW w:type="dxa" w:w="12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Must</w:t>
            </w:r>
          </w:p>
        </w:tc>
      </w:tr>
      <w:tr>
        <w:tc>
          <w:tcPr>
            <w:tcW w:type="dxa" w:w="1400"/>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FR-CF-3</w:t>
            </w:r>
          </w:p>
        </w:tc>
        <w:tc>
          <w:tcPr>
            <w:tcW w:type="dxa" w:w="67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Brief structure: same as Outcome Brief, plus a 'comparable grants' panel showing the retrieved siblings as small cards with their actual descriptions excerpted (max 2 lines each)</w:t>
            </w:r>
          </w:p>
        </w:tc>
        <w:tc>
          <w:tcPr>
            <w:tcW w:type="dxa" w:w="12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Must</w:t>
            </w:r>
          </w:p>
        </w:tc>
      </w:tr>
      <w:tr>
        <w:tc>
          <w:tcPr>
            <w:tcW w:type="dxa" w:w="1400"/>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FR-CF-4</w:t>
            </w:r>
          </w:p>
        </w:tc>
        <w:tc>
          <w:tcPr>
            <w:tcW w:type="dxa" w:w="67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Synthesis language uses ONLY observation framing: 'Briefs in this category typically state X', 'Comparable grants have stated Y'. NEVER prescriptive: 'This grant should have stated...'</w:t>
            </w:r>
          </w:p>
        </w:tc>
        <w:tc>
          <w:tcPr>
            <w:tcW w:type="dxa" w:w="12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Must</w:t>
            </w:r>
          </w:p>
        </w:tc>
      </w:tr>
      <w:tr>
        <w:tc>
          <w:tcPr>
            <w:tcW w:type="dxa" w:w="1400"/>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FR-CF-5</w:t>
            </w:r>
          </w:p>
        </w:tc>
        <w:tc>
          <w:tcPr>
            <w:tcW w:type="dxa" w:w="67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Surface includes parent program's Departmental Results Report (DRR) stated outcomes if available, with citation</w:t>
            </w:r>
          </w:p>
        </w:tc>
        <w:tc>
          <w:tcPr>
            <w:tcW w:type="dxa" w:w="12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Must</w:t>
            </w:r>
          </w:p>
        </w:tc>
      </w:tr>
      <w:tr>
        <w:tc>
          <w:tcPr>
            <w:tcW w:type="dxa" w:w="1400"/>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FR-CF-6</w:t>
            </w:r>
          </w:p>
        </w:tc>
        <w:tc>
          <w:tcPr>
            <w:tcW w:type="dxa" w:w="67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Surface includes any AG findings for the parent program, with direct citation ≤ 15 words</w:t>
            </w:r>
          </w:p>
        </w:tc>
        <w:tc>
          <w:tcPr>
            <w:tcW w:type="dxa" w:w="12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Must</w:t>
            </w:r>
          </w:p>
        </w:tc>
      </w:tr>
      <w:tr>
        <w:tc>
          <w:tcPr>
            <w:tcW w:type="dxa" w:w="1400"/>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FR-CF-7</w:t>
            </w:r>
          </w:p>
        </w:tc>
        <w:tc>
          <w:tcPr>
            <w:tcW w:type="dxa" w:w="67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PYTH-GOV validates every output against forbidden-prescriptive-language patterns before render</w:t>
            </w:r>
          </w:p>
        </w:tc>
        <w:tc>
          <w:tcPr>
            <w:tcW w:type="dxa" w:w="12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Must</w:t>
            </w:r>
          </w:p>
        </w:tc>
      </w:tr>
    </w:tbl>
    <w:p>
      <w:pPr>
        <w:spacing w:after="200" w:before="0" w:line="320"/>
        <w:jc w:val="left"/>
      </w:pPr>
      <w:r>
        <w:rPr>
          <w:rFonts w:ascii="Calibri" w:cs="Calibri" w:eastAsia="Calibri" w:hAnsi="Calibri"/>
          <w:b w:val="false"/>
          <w:bCs w:val="false"/>
          <w:i w:val="false"/>
          <w:iCs w:val="false"/>
          <w:color w:val="1F1F1F"/>
          <w:sz w:val="22"/>
          <w:szCs w:val="22"/>
        </w:rPr>
        <w:t xml:space="preserve"/>
      </w:r>
    </w:p>
    <w:p>
      <w:pPr>
        <w:pStyle w:val="Heading2"/>
        <w:spacing w:after="180" w:before="360" w:line="320"/>
      </w:pPr>
      <w:r>
        <w:rPr>
          <w:rFonts w:ascii="Calibri" w:cs="Calibri" w:eastAsia="Calibri" w:hAnsi="Calibri"/>
          <w:b/>
          <w:bCs/>
          <w:color w:val="1F1F1F"/>
          <w:sz w:val="32"/>
          <w:szCs w:val="32"/>
        </w:rPr>
        <w:t xml:space="preserve">5.4 Cross-cutting requirements (FR-X)</w:t>
      </w:r>
    </w:p>
    <w:tbl>
      <w:tblPr>
        <w:tblW w:type="dxa" w:w="9360"/>
        <w:tblBorders>
          <w:top w:val="single" w:color="D3D1C7" w:sz="6"/>
          <w:left w:val="single" w:color="D3D1C7" w:sz="6"/>
          <w:bottom w:val="single" w:color="D3D1C7" w:sz="6"/>
          <w:right w:val="single" w:color="D3D1C7" w:sz="6"/>
          <w:insideH w:val="single" w:color="D3D1C7" w:sz="4"/>
          <w:insideV w:val="single" w:color="D3D1C7" w:sz="4"/>
        </w:tblBorders>
      </w:tblPr>
      <w:tblGrid>
        <w:gridCol w:w="1400"/>
        <w:gridCol w:w="6760"/>
        <w:gridCol w:w="1200"/>
      </w:tblGrid>
      <w:tr>
        <w:trPr>
          <w:tblHeader/>
        </w:trPr>
        <w:tc>
          <w:tcPr>
            <w:tcW w:type="dxa" w:w="1400"/>
            <w:shd w:fill="F1EFE8" w:val="clear"/>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ID</w:t>
            </w:r>
          </w:p>
        </w:tc>
        <w:tc>
          <w:tcPr>
            <w:tcW w:type="dxa" w:w="6760"/>
            <w:shd w:fill="F1EFE8" w:val="clear"/>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Requirement</w:t>
            </w:r>
          </w:p>
        </w:tc>
        <w:tc>
          <w:tcPr>
            <w:tcW w:type="dxa" w:w="1200"/>
            <w:shd w:fill="F1EFE8" w:val="clear"/>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Priority</w:t>
            </w:r>
          </w:p>
        </w:tc>
      </w:tr>
      <w:tr>
        <w:tc>
          <w:tcPr>
            <w:tcW w:type="dxa" w:w="1400"/>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FR-X-1</w:t>
            </w:r>
          </w:p>
        </w:tc>
        <w:tc>
          <w:tcPr>
            <w:tcW w:type="dxa" w:w="67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All three surfaces accessible from a single URL with shell-level navigation (no per-surface authentication)</w:t>
            </w:r>
          </w:p>
        </w:tc>
        <w:tc>
          <w:tcPr>
            <w:tcW w:type="dxa" w:w="12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Must</w:t>
            </w:r>
          </w:p>
        </w:tc>
      </w:tr>
      <w:tr>
        <w:tc>
          <w:tcPr>
            <w:tcW w:type="dxa" w:w="1400"/>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FR-X-2</w:t>
            </w:r>
          </w:p>
        </w:tc>
        <w:tc>
          <w:tcPr>
            <w:tcW w:type="dxa" w:w="67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Pythagorithm Proof token canonical JSON schema renders consistently across all surfaces (see Architecture &amp; Build Spec for schema)</w:t>
            </w:r>
          </w:p>
        </w:tc>
        <w:tc>
          <w:tcPr>
            <w:tcW w:type="dxa" w:w="12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Must</w:t>
            </w:r>
          </w:p>
        </w:tc>
      </w:tr>
      <w:tr>
        <w:tc>
          <w:tcPr>
            <w:tcW w:type="dxa" w:w="1400"/>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FR-X-3</w:t>
            </w:r>
          </w:p>
        </w:tc>
        <w:tc>
          <w:tcPr>
            <w:tcW w:type="dxa" w:w="67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Calibrated-language validator runs on every synthesized output prior to render, with rejection logging to decisions.md</w:t>
            </w:r>
          </w:p>
        </w:tc>
        <w:tc>
          <w:tcPr>
            <w:tcW w:type="dxa" w:w="12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Must</w:t>
            </w:r>
          </w:p>
        </w:tc>
      </w:tr>
      <w:tr>
        <w:tc>
          <w:tcPr>
            <w:tcW w:type="dxa" w:w="1400"/>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FR-X-4</w:t>
            </w:r>
          </w:p>
        </w:tc>
        <w:tc>
          <w:tcPr>
            <w:tcW w:type="dxa" w:w="67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Failure mode: if database is unreachable, surfaces serve from /cached/{slug}/ pre-rendered pages without behavior degradation visible to user</w:t>
            </w:r>
          </w:p>
        </w:tc>
        <w:tc>
          <w:tcPr>
            <w:tcW w:type="dxa" w:w="12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Must</w:t>
            </w:r>
          </w:p>
        </w:tc>
      </w:tr>
      <w:tr>
        <w:tc>
          <w:tcPr>
            <w:tcW w:type="dxa" w:w="1400"/>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FR-X-5</w:t>
            </w:r>
          </w:p>
        </w:tc>
        <w:tc>
          <w:tcPr>
            <w:tcW w:type="dxa" w:w="67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Failure mode: if LLM endpoint is rate-limited, system falls back to AWS Bedrock; if both fail, serves cached briefs</w:t>
            </w:r>
          </w:p>
        </w:tc>
        <w:tc>
          <w:tcPr>
            <w:tcW w:type="dxa" w:w="12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Must</w:t>
            </w:r>
          </w:p>
        </w:tc>
      </w:tr>
      <w:tr>
        <w:tc>
          <w:tcPr>
            <w:tcW w:type="dxa" w:w="1400"/>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FR-X-6</w:t>
            </w:r>
          </w:p>
        </w:tc>
        <w:tc>
          <w:tcPr>
            <w:tcW w:type="dxa" w:w="67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Demo runs from a single AWS instance with HTTPS termination</w:t>
            </w:r>
          </w:p>
        </w:tc>
        <w:tc>
          <w:tcPr>
            <w:tcW w:type="dxa" w:w="12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Must</w:t>
            </w:r>
          </w:p>
        </w:tc>
      </w:tr>
      <w:tr>
        <w:tc>
          <w:tcPr>
            <w:tcW w:type="dxa" w:w="1400"/>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FR-X-7</w:t>
            </w:r>
          </w:p>
        </w:tc>
        <w:tc>
          <w:tcPr>
            <w:tcW w:type="dxa" w:w="67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All UI in editorial dark mode (committed; no toggle)</w:t>
            </w:r>
          </w:p>
        </w:tc>
        <w:tc>
          <w:tcPr>
            <w:tcW w:type="dxa" w:w="12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Must</w:t>
            </w:r>
          </w:p>
        </w:tc>
      </w:tr>
      <w:tr>
        <w:tc>
          <w:tcPr>
            <w:tcW w:type="dxa" w:w="1400"/>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FR-X-8</w:t>
            </w:r>
          </w:p>
        </w:tc>
        <w:tc>
          <w:tcPr>
            <w:tcW w:type="dxa" w:w="67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AIA Register panel renders 10 federal Algorithmic Impact Assessments in the Glass Box, with structural visual parity to the Pythagorithm Proof badge (impact level chip + mitigation indicator)</w:t>
            </w:r>
          </w:p>
        </w:tc>
        <w:tc>
          <w:tcPr>
            <w:tcW w:type="dxa" w:w="12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Must</w:t>
            </w:r>
          </w:p>
        </w:tc>
      </w:tr>
      <w:tr>
        <w:tc>
          <w:tcPr>
            <w:tcW w:type="dxa" w:w="1400"/>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FR-X-9</w:t>
            </w:r>
          </w:p>
        </w:tc>
        <w:tc>
          <w:tcPr>
            <w:tcW w:type="dxa" w:w="67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Prewarm cache file (cache/seed-entities.json) is loaded at startup; the 10 seed entities respond from cache in &lt;50ms with zero network dependency</w:t>
            </w:r>
          </w:p>
        </w:tc>
        <w:tc>
          <w:tcPr>
            <w:tcW w:type="dxa" w:w="12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Must</w:t>
            </w:r>
          </w:p>
        </w:tc>
      </w:tr>
    </w:tbl>
    <w:p>
      <w:r>
        <w:br w:type="page"/>
      </w:r>
    </w:p>
    <w:p>
      <w:pPr>
        <w:pStyle w:val="Heading1"/>
        <w:spacing w:after="240" w:before="480" w:line="320"/>
      </w:pPr>
      <w:r>
        <w:rPr>
          <w:rFonts w:ascii="Calibri" w:cs="Calibri" w:eastAsia="Calibri" w:hAnsi="Calibri"/>
          <w:b/>
          <w:bCs/>
          <w:color w:val="1F1F1F"/>
          <w:sz w:val="44"/>
          <w:szCs w:val="44"/>
        </w:rPr>
        <w:t xml:space="preserve">6 · Non-functional requirements</w:t>
      </w:r>
    </w:p>
    <w:p>
      <w:pPr>
        <w:pStyle w:val="Heading2"/>
        <w:spacing w:after="180" w:before="360" w:line="320"/>
      </w:pPr>
      <w:r>
        <w:rPr>
          <w:rFonts w:ascii="Calibri" w:cs="Calibri" w:eastAsia="Calibri" w:hAnsi="Calibri"/>
          <w:b/>
          <w:bCs/>
          <w:color w:val="1F1F1F"/>
          <w:sz w:val="32"/>
          <w:szCs w:val="32"/>
        </w:rPr>
        <w:t xml:space="preserve">6.1 Performance</w:t>
      </w:r>
    </w:p>
    <w:p>
      <w:pPr>
        <w:pStyle w:val="ListParagraph"/>
        <w:numPr>
          <w:ilvl w:val="0"/>
          <w:numId w:val="2"/>
        </w:numPr>
        <w:spacing w:after="80" w:before="0" w:line="320"/>
      </w:pPr>
      <w:r>
        <w:rPr>
          <w:rFonts w:ascii="Calibri" w:cs="Calibri" w:eastAsia="Calibri" w:hAnsi="Calibri"/>
          <w:color w:val="1F1F1F"/>
          <w:sz w:val="22"/>
          <w:szCs w:val="22"/>
        </w:rPr>
        <w:t xml:space="preserve">Page load on first visit (cold cache): &lt; 3 seconds</w:t>
      </w:r>
    </w:p>
    <w:p>
      <w:pPr>
        <w:pStyle w:val="ListParagraph"/>
        <w:numPr>
          <w:ilvl w:val="0"/>
          <w:numId w:val="2"/>
        </w:numPr>
        <w:spacing w:after="80" w:before="0" w:line="320"/>
      </w:pPr>
      <w:r>
        <w:rPr>
          <w:rFonts w:ascii="Calibri" w:cs="Calibri" w:eastAsia="Calibri" w:hAnsi="Calibri"/>
          <w:color w:val="1F1F1F"/>
          <w:sz w:val="22"/>
          <w:szCs w:val="22"/>
        </w:rPr>
        <w:t xml:space="preserve">Glass Box findings feed render: &lt; 1 second after data fetch</w:t>
      </w:r>
    </w:p>
    <w:p>
      <w:pPr>
        <w:pStyle w:val="ListParagraph"/>
        <w:numPr>
          <w:ilvl w:val="0"/>
          <w:numId w:val="2"/>
        </w:numPr>
        <w:spacing w:after="80" w:before="0" w:line="320"/>
      </w:pPr>
      <w:r>
        <w:rPr>
          <w:rFonts w:ascii="Calibri" w:cs="Calibri" w:eastAsia="Calibri" w:hAnsi="Calibri"/>
          <w:color w:val="1F1F1F"/>
          <w:sz w:val="22"/>
          <w:szCs w:val="22"/>
        </w:rPr>
        <w:t xml:space="preserve">Outcome Brief generation (cached entity): &lt; 8 seconds</w:t>
      </w:r>
    </w:p>
    <w:p>
      <w:pPr>
        <w:pStyle w:val="ListParagraph"/>
        <w:numPr>
          <w:ilvl w:val="0"/>
          <w:numId w:val="2"/>
        </w:numPr>
        <w:spacing w:after="80" w:before="0" w:line="320"/>
      </w:pPr>
      <w:r>
        <w:rPr>
          <w:rFonts w:ascii="Calibri" w:cs="Calibri" w:eastAsia="Calibri" w:hAnsi="Calibri"/>
          <w:color w:val="1F1F1F"/>
          <w:sz w:val="22"/>
          <w:szCs w:val="22"/>
        </w:rPr>
        <w:t xml:space="preserve">Outcome Brief generation (cold entity): &lt; 25 seconds</w:t>
      </w:r>
    </w:p>
    <w:p>
      <w:pPr>
        <w:pStyle w:val="ListParagraph"/>
        <w:numPr>
          <w:ilvl w:val="0"/>
          <w:numId w:val="2"/>
        </w:numPr>
        <w:spacing w:after="80" w:before="0" w:line="320"/>
      </w:pPr>
      <w:r>
        <w:rPr>
          <w:rFonts w:ascii="Calibri" w:cs="Calibri" w:eastAsia="Calibri" w:hAnsi="Calibri"/>
          <w:color w:val="1F1F1F"/>
          <w:sz w:val="22"/>
          <w:szCs w:val="22"/>
        </w:rPr>
        <w:t xml:space="preserve">Counterfactual Brief generation (cached): &lt; 10 seconds; (cold) &lt; 30 seconds</w:t>
      </w:r>
    </w:p>
    <w:p>
      <w:pPr>
        <w:pStyle w:val="ListParagraph"/>
        <w:numPr>
          <w:ilvl w:val="0"/>
          <w:numId w:val="2"/>
        </w:numPr>
        <w:spacing w:after="80" w:before="0" w:line="320"/>
      </w:pPr>
      <w:r>
        <w:rPr>
          <w:rFonts w:ascii="Calibri" w:cs="Calibri" w:eastAsia="Calibri" w:hAnsi="Calibri"/>
          <w:color w:val="1F1F1F"/>
          <w:sz w:val="22"/>
          <w:szCs w:val="22"/>
        </w:rPr>
        <w:t xml:space="preserve">Strand animation: 600ms total duration, 60fps minimum</w:t>
      </w:r>
    </w:p>
    <w:p>
      <w:pPr>
        <w:pStyle w:val="Heading2"/>
        <w:spacing w:after="180" w:before="360" w:line="320"/>
      </w:pPr>
      <w:r>
        <w:rPr>
          <w:rFonts w:ascii="Calibri" w:cs="Calibri" w:eastAsia="Calibri" w:hAnsi="Calibri"/>
          <w:b/>
          <w:bCs/>
          <w:color w:val="1F1F1F"/>
          <w:sz w:val="32"/>
          <w:szCs w:val="32"/>
        </w:rPr>
        <w:t xml:space="preserve">6.2 Reliability</w:t>
      </w:r>
    </w:p>
    <w:p>
      <w:pPr>
        <w:pStyle w:val="ListParagraph"/>
        <w:numPr>
          <w:ilvl w:val="0"/>
          <w:numId w:val="2"/>
        </w:numPr>
        <w:spacing w:after="80" w:before="0" w:line="320"/>
      </w:pPr>
      <w:r>
        <w:rPr>
          <w:rFonts w:ascii="Calibri" w:cs="Calibri" w:eastAsia="Calibri" w:hAnsi="Calibri"/>
          <w:color w:val="1F1F1F"/>
          <w:sz w:val="22"/>
          <w:szCs w:val="22"/>
        </w:rPr>
        <w:t xml:space="preserve">Demo URL must remain reachable from 09:00 EDT through 17:30 EDT</w:t>
      </w:r>
    </w:p>
    <w:p>
      <w:pPr>
        <w:pStyle w:val="ListParagraph"/>
        <w:numPr>
          <w:ilvl w:val="0"/>
          <w:numId w:val="2"/>
        </w:numPr>
        <w:spacing w:after="80" w:before="0" w:line="320"/>
      </w:pPr>
      <w:r>
        <w:rPr>
          <w:rFonts w:ascii="Calibri" w:cs="Calibri" w:eastAsia="Calibri" w:hAnsi="Calibri"/>
          <w:color w:val="1F1F1F"/>
          <w:sz w:val="22"/>
          <w:szCs w:val="22"/>
        </w:rPr>
        <w:t xml:space="preserve">Rollback to previous known-good state must complete in &lt; 30 seconds</w:t>
      </w:r>
    </w:p>
    <w:p>
      <w:pPr>
        <w:pStyle w:val="ListParagraph"/>
        <w:numPr>
          <w:ilvl w:val="0"/>
          <w:numId w:val="2"/>
        </w:numPr>
        <w:spacing w:after="80" w:before="0" w:line="320"/>
      </w:pPr>
      <w:r>
        <w:rPr>
          <w:rFonts w:ascii="Calibri" w:cs="Calibri" w:eastAsia="Calibri" w:hAnsi="Calibri"/>
          <w:color w:val="1F1F1F"/>
          <w:sz w:val="22"/>
          <w:szCs w:val="22"/>
        </w:rPr>
        <w:t xml:space="preserve">Local Postgres failover must be exercised end-to-end before 09:00</w:t>
      </w:r>
    </w:p>
    <w:p>
      <w:pPr>
        <w:pStyle w:val="ListParagraph"/>
        <w:numPr>
          <w:ilvl w:val="0"/>
          <w:numId w:val="2"/>
        </w:numPr>
        <w:spacing w:after="80" w:before="0" w:line="320"/>
      </w:pPr>
      <w:r>
        <w:rPr>
          <w:rFonts w:ascii="Calibri" w:cs="Calibri" w:eastAsia="Calibri" w:hAnsi="Calibri"/>
          <w:color w:val="1F1F1F"/>
          <w:sz w:val="22"/>
          <w:szCs w:val="22"/>
        </w:rPr>
        <w:t xml:space="preserve">Pre-cached briefs must be regenerable within 5 minutes against latest synthesis output</w:t>
      </w:r>
    </w:p>
    <w:p>
      <w:pPr>
        <w:pStyle w:val="Heading2"/>
        <w:spacing w:after="180" w:before="360" w:line="320"/>
      </w:pPr>
      <w:r>
        <w:rPr>
          <w:rFonts w:ascii="Calibri" w:cs="Calibri" w:eastAsia="Calibri" w:hAnsi="Calibri"/>
          <w:b/>
          <w:bCs/>
          <w:color w:val="1F1F1F"/>
          <w:sz w:val="32"/>
          <w:szCs w:val="32"/>
        </w:rPr>
        <w:t xml:space="preserve">6.3 Calibration &amp; governance</w:t>
      </w:r>
    </w:p>
    <w:p>
      <w:pPr>
        <w:pStyle w:val="ListParagraph"/>
        <w:numPr>
          <w:ilvl w:val="0"/>
          <w:numId w:val="2"/>
        </w:numPr>
        <w:spacing w:after="80" w:before="0" w:line="320"/>
      </w:pPr>
      <w:r>
        <w:rPr>
          <w:rFonts w:ascii="Calibri" w:cs="Calibri" w:eastAsia="Calibri" w:hAnsi="Calibri"/>
          <w:color w:val="1F1F1F"/>
          <w:sz w:val="22"/>
          <w:szCs w:val="22"/>
        </w:rPr>
        <w:t xml:space="preserve">Zero output reaches a user without a complete Proof token covering all four tiers</w:t>
      </w:r>
    </w:p>
    <w:p>
      <w:pPr>
        <w:pStyle w:val="ListParagraph"/>
        <w:numPr>
          <w:ilvl w:val="0"/>
          <w:numId w:val="2"/>
        </w:numPr>
        <w:spacing w:after="80" w:before="0" w:line="320"/>
      </w:pPr>
      <w:r>
        <w:rPr>
          <w:rFonts w:ascii="Calibri" w:cs="Calibri" w:eastAsia="Calibri" w:hAnsi="Calibri"/>
          <w:color w:val="1F1F1F"/>
          <w:sz w:val="22"/>
          <w:szCs w:val="22"/>
        </w:rPr>
        <w:t xml:space="preserve">Zero claim mentioning a named individual ships without entity-resolution confidence visible</w:t>
      </w:r>
    </w:p>
    <w:p>
      <w:pPr>
        <w:pStyle w:val="ListParagraph"/>
        <w:numPr>
          <w:ilvl w:val="0"/>
          <w:numId w:val="2"/>
        </w:numPr>
        <w:spacing w:after="80" w:before="0" w:line="320"/>
      </w:pPr>
      <w:r>
        <w:rPr>
          <w:rFonts w:ascii="Calibri" w:cs="Calibri" w:eastAsia="Calibri" w:hAnsi="Calibri"/>
          <w:color w:val="1F1F1F"/>
          <w:sz w:val="22"/>
          <w:szCs w:val="22"/>
        </w:rPr>
        <w:t xml:space="preserve">Forbidden-language regex sweep runs on every synthesis output; any match blocks render</w:t>
      </w:r>
    </w:p>
    <w:p>
      <w:pPr>
        <w:pStyle w:val="ListParagraph"/>
        <w:numPr>
          <w:ilvl w:val="0"/>
          <w:numId w:val="2"/>
        </w:numPr>
        <w:spacing w:after="80" w:before="0" w:line="320"/>
      </w:pPr>
      <w:r>
        <w:rPr>
          <w:rFonts w:ascii="Calibri" w:cs="Calibri" w:eastAsia="Calibri" w:hAnsi="Calibri"/>
          <w:color w:val="1F1F1F"/>
          <w:sz w:val="22"/>
          <w:szCs w:val="22"/>
        </w:rPr>
        <w:t xml:space="preserve">Citation registry is queryable for any claim shown — no orphaned text</w:t>
      </w:r>
    </w:p>
    <w:p>
      <w:pPr>
        <w:pStyle w:val="Heading2"/>
        <w:spacing w:after="180" w:before="360" w:line="320"/>
      </w:pPr>
      <w:r>
        <w:rPr>
          <w:rFonts w:ascii="Calibri" w:cs="Calibri" w:eastAsia="Calibri" w:hAnsi="Calibri"/>
          <w:b/>
          <w:bCs/>
          <w:color w:val="1F1F1F"/>
          <w:sz w:val="32"/>
          <w:szCs w:val="32"/>
        </w:rPr>
        <w:t xml:space="preserve">6.4 Compliance &amp; ethics</w:t>
      </w:r>
    </w:p>
    <w:p>
      <w:pPr>
        <w:pStyle w:val="ListParagraph"/>
        <w:numPr>
          <w:ilvl w:val="0"/>
          <w:numId w:val="2"/>
        </w:numPr>
        <w:spacing w:after="80" w:before="0" w:line="320"/>
      </w:pPr>
      <w:r>
        <w:rPr>
          <w:rFonts w:ascii="Calibri" w:cs="Calibri" w:eastAsia="Calibri" w:hAnsi="Calibri"/>
          <w:color w:val="1F1F1F"/>
          <w:sz w:val="22"/>
          <w:szCs w:val="22"/>
        </w:rPr>
        <w:t xml:space="preserve">All data sources public, open government, or licensed for derivative use</w:t>
      </w:r>
    </w:p>
    <w:p>
      <w:pPr>
        <w:pStyle w:val="ListParagraph"/>
        <w:numPr>
          <w:ilvl w:val="0"/>
          <w:numId w:val="2"/>
        </w:numPr>
        <w:spacing w:after="80" w:before="0" w:line="320"/>
      </w:pPr>
      <w:r>
        <w:rPr>
          <w:rFonts w:ascii="Calibri" w:cs="Calibri" w:eastAsia="Calibri" w:hAnsi="Calibri"/>
          <w:color w:val="1F1F1F"/>
          <w:sz w:val="22"/>
          <w:szCs w:val="22"/>
        </w:rPr>
        <w:t xml:space="preserve">Data residency: AWS Canada Central (ca-central-1) for all data-processing workloads</w:t>
      </w:r>
    </w:p>
    <w:p>
      <w:pPr>
        <w:pStyle w:val="ListParagraph"/>
        <w:numPr>
          <w:ilvl w:val="0"/>
          <w:numId w:val="2"/>
        </w:numPr>
        <w:spacing w:after="80" w:before="0" w:line="320"/>
      </w:pPr>
      <w:r>
        <w:rPr>
          <w:rFonts w:ascii="Calibri" w:cs="Calibri" w:eastAsia="Calibri" w:hAnsi="Calibri"/>
          <w:color w:val="1F1F1F"/>
          <w:sz w:val="22"/>
          <w:szCs w:val="22"/>
        </w:rPr>
        <w:t xml:space="preserve">No personal data beyond what is in public registries (T3010 directors, lobbying registrants, etc.)</w:t>
      </w:r>
    </w:p>
    <w:p>
      <w:pPr>
        <w:pStyle w:val="ListParagraph"/>
        <w:numPr>
          <w:ilvl w:val="0"/>
          <w:numId w:val="2"/>
        </w:numPr>
        <w:spacing w:after="80" w:before="0" w:line="320"/>
      </w:pPr>
      <w:r>
        <w:rPr>
          <w:rFonts w:ascii="Calibri" w:cs="Calibri" w:eastAsia="Calibri" w:hAnsi="Calibri"/>
          <w:color w:val="1F1F1F"/>
          <w:sz w:val="22"/>
          <w:szCs w:val="22"/>
        </w:rPr>
        <w:t xml:space="preserve">MIT licence for all code; CC-BY 4.0 for written deliverables</w:t>
      </w:r>
    </w:p>
    <w:p>
      <w:r>
        <w:br w:type="page"/>
      </w:r>
    </w:p>
    <w:p>
      <w:pPr>
        <w:pStyle w:val="Heading1"/>
        <w:spacing w:after="240" w:before="480" w:line="320"/>
      </w:pPr>
      <w:r>
        <w:rPr>
          <w:rFonts w:ascii="Calibri" w:cs="Calibri" w:eastAsia="Calibri" w:hAnsi="Calibri"/>
          <w:b/>
          <w:bCs/>
          <w:color w:val="1F1F1F"/>
          <w:sz w:val="44"/>
          <w:szCs w:val="44"/>
        </w:rPr>
        <w:t xml:space="preserve">7 · Success criteria</w:t>
      </w:r>
    </w:p>
    <w:p>
      <w:pPr>
        <w:spacing w:after="120" w:before="0" w:line="320"/>
        <w:jc w:val="left"/>
      </w:pPr>
      <w:r>
        <w:rPr>
          <w:rFonts w:ascii="Calibri" w:cs="Calibri" w:eastAsia="Calibri" w:hAnsi="Calibri"/>
          <w:b w:val="false"/>
          <w:bCs w:val="false"/>
          <w:i w:val="false"/>
          <w:iCs w:val="false"/>
          <w:color w:val="1F1F1F"/>
          <w:sz w:val="22"/>
          <w:szCs w:val="22"/>
        </w:rPr>
        <w:t xml:space="preserve">Success is measured against three hierarchical bars. Failure to meet the Floor bar means the build is not shippable. Floor and Target are pre-event commitments; Reach is opportunistic.</w:t>
      </w:r>
    </w:p>
    <w:p>
      <w:pPr>
        <w:pStyle w:val="Heading2"/>
        <w:spacing w:after="180" w:before="360" w:line="320"/>
      </w:pPr>
      <w:r>
        <w:rPr>
          <w:rFonts w:ascii="Calibri" w:cs="Calibri" w:eastAsia="Calibri" w:hAnsi="Calibri"/>
          <w:b/>
          <w:bCs/>
          <w:color w:val="1F1F1F"/>
          <w:sz w:val="32"/>
          <w:szCs w:val="32"/>
        </w:rPr>
        <w:t xml:space="preserve">7.1 Floor (must achieve to ship)</w:t>
      </w:r>
    </w:p>
    <w:p>
      <w:pPr>
        <w:pStyle w:val="ListParagraph"/>
        <w:numPr>
          <w:ilvl w:val="0"/>
          <w:numId w:val="2"/>
        </w:numPr>
        <w:spacing w:after="80" w:before="0" w:line="320"/>
      </w:pPr>
      <w:r>
        <w:rPr>
          <w:rFonts w:ascii="Calibri" w:cs="Calibri" w:eastAsia="Calibri" w:hAnsi="Calibri"/>
          <w:color w:val="1F1F1F"/>
          <w:sz w:val="22"/>
          <w:szCs w:val="22"/>
        </w:rPr>
        <w:t xml:space="preserve">All three surfaces render without errors at 16:30 EDT</w:t>
      </w:r>
    </w:p>
    <w:p>
      <w:pPr>
        <w:pStyle w:val="ListParagraph"/>
        <w:numPr>
          <w:ilvl w:val="0"/>
          <w:numId w:val="2"/>
        </w:numPr>
        <w:spacing w:after="80" w:before="0" w:line="320"/>
      </w:pPr>
      <w:r>
        <w:rPr>
          <w:rFonts w:ascii="Calibri" w:cs="Calibri" w:eastAsia="Calibri" w:hAnsi="Calibri"/>
          <w:color w:val="1F1F1F"/>
          <w:sz w:val="22"/>
          <w:szCs w:val="22"/>
        </w:rPr>
        <w:t xml:space="preserve">At least 10 entities have working Glass Box findings with Proof Drawers</w:t>
      </w:r>
    </w:p>
    <w:p>
      <w:pPr>
        <w:pStyle w:val="ListParagraph"/>
        <w:numPr>
          <w:ilvl w:val="0"/>
          <w:numId w:val="2"/>
        </w:numPr>
        <w:spacing w:after="80" w:before="0" w:line="320"/>
      </w:pPr>
      <w:r>
        <w:rPr>
          <w:rFonts w:ascii="Calibri" w:cs="Calibri" w:eastAsia="Calibri" w:hAnsi="Calibri"/>
          <w:color w:val="1F1F1F"/>
          <w:sz w:val="22"/>
          <w:szCs w:val="22"/>
        </w:rPr>
        <w:t xml:space="preserve">At least 3 Outcome Briefs render with full citations from at least 2 source authorities each</w:t>
      </w:r>
    </w:p>
    <w:p>
      <w:pPr>
        <w:pStyle w:val="ListParagraph"/>
        <w:numPr>
          <w:ilvl w:val="0"/>
          <w:numId w:val="2"/>
        </w:numPr>
        <w:spacing w:after="80" w:before="0" w:line="320"/>
      </w:pPr>
      <w:r>
        <w:rPr>
          <w:rFonts w:ascii="Calibri" w:cs="Calibri" w:eastAsia="Calibri" w:hAnsi="Calibri"/>
          <w:color w:val="1F1F1F"/>
          <w:sz w:val="22"/>
          <w:szCs w:val="22"/>
        </w:rPr>
        <w:t xml:space="preserve">At least 3 Counterfactual Briefs render with k ≥ 8 comparable grants and DRR/AG citations where available</w:t>
      </w:r>
    </w:p>
    <w:p>
      <w:pPr>
        <w:pStyle w:val="ListParagraph"/>
        <w:numPr>
          <w:ilvl w:val="0"/>
          <w:numId w:val="2"/>
        </w:numPr>
        <w:spacing w:after="80" w:before="0" w:line="320"/>
      </w:pPr>
      <w:r>
        <w:rPr>
          <w:rFonts w:ascii="Calibri" w:cs="Calibri" w:eastAsia="Calibri" w:hAnsi="Calibri"/>
          <w:color w:val="1F1F1F"/>
          <w:sz w:val="22"/>
          <w:szCs w:val="22"/>
        </w:rPr>
        <w:t xml:space="preserve">Will delivers the 90-second pitch from muscle memory without consulting notes</w:t>
      </w:r>
    </w:p>
    <w:p>
      <w:pPr>
        <w:pStyle w:val="ListParagraph"/>
        <w:numPr>
          <w:ilvl w:val="0"/>
          <w:numId w:val="2"/>
        </w:numPr>
        <w:spacing w:after="80" w:before="0" w:line="320"/>
      </w:pPr>
      <w:r>
        <w:rPr>
          <w:rFonts w:ascii="Calibri" w:cs="Calibri" w:eastAsia="Calibri" w:hAnsi="Calibri"/>
          <w:color w:val="1F1F1F"/>
          <w:sz w:val="22"/>
          <w:szCs w:val="22"/>
        </w:rPr>
        <w:t xml:space="preserve">PYTH-GOV validator has rejected at least 3 synthesis attempts during the day (proof of operation)</w:t>
      </w:r>
    </w:p>
    <w:p>
      <w:pPr>
        <w:pStyle w:val="Heading2"/>
        <w:spacing w:after="180" w:before="360" w:line="320"/>
      </w:pPr>
      <w:r>
        <w:rPr>
          <w:rFonts w:ascii="Calibri" w:cs="Calibri" w:eastAsia="Calibri" w:hAnsi="Calibri"/>
          <w:b/>
          <w:bCs/>
          <w:color w:val="1F1F1F"/>
          <w:sz w:val="32"/>
          <w:szCs w:val="32"/>
        </w:rPr>
        <w:t xml:space="preserve">7.2 Target (the build delivered as designed)</w:t>
      </w:r>
    </w:p>
    <w:p>
      <w:pPr>
        <w:pStyle w:val="ListParagraph"/>
        <w:numPr>
          <w:ilvl w:val="0"/>
          <w:numId w:val="2"/>
        </w:numPr>
        <w:spacing w:after="80" w:before="0" w:line="320"/>
      </w:pPr>
      <w:r>
        <w:rPr>
          <w:rFonts w:ascii="Calibri" w:cs="Calibri" w:eastAsia="Calibri" w:hAnsi="Calibri"/>
          <w:color w:val="1F1F1F"/>
          <w:sz w:val="22"/>
          <w:szCs w:val="22"/>
        </w:rPr>
        <w:t xml:space="preserve">All Floor criteria, plus:</w:t>
      </w:r>
    </w:p>
    <w:p>
      <w:pPr>
        <w:pStyle w:val="ListParagraph"/>
        <w:numPr>
          <w:ilvl w:val="0"/>
          <w:numId w:val="2"/>
        </w:numPr>
        <w:spacing w:after="80" w:before="0" w:line="320"/>
      </w:pPr>
      <w:r>
        <w:rPr>
          <w:rFonts w:ascii="Calibri" w:cs="Calibri" w:eastAsia="Calibri" w:hAnsi="Calibri"/>
          <w:color w:val="1F1F1F"/>
          <w:sz w:val="22"/>
          <w:szCs w:val="22"/>
        </w:rPr>
        <w:t xml:space="preserve">All 6 Glubish-named entities (WE Charity, SDTC, Canada World Youth, Halagonia Tidal, TMT, Carisbrooke) have Outcome Briefs</w:t>
      </w:r>
    </w:p>
    <w:p>
      <w:pPr>
        <w:pStyle w:val="ListParagraph"/>
        <w:numPr>
          <w:ilvl w:val="0"/>
          <w:numId w:val="2"/>
        </w:numPr>
        <w:spacing w:after="80" w:before="0" w:line="320"/>
      </w:pPr>
      <w:r>
        <w:rPr>
          <w:rFonts w:ascii="Calibri" w:cs="Calibri" w:eastAsia="Calibri" w:hAnsi="Calibri"/>
          <w:color w:val="1F1F1F"/>
          <w:sz w:val="22"/>
          <w:szCs w:val="22"/>
        </w:rPr>
        <w:t xml:space="preserve">At least 5 Counterfactual Briefs across distinct programs</w:t>
      </w:r>
    </w:p>
    <w:p>
      <w:pPr>
        <w:pStyle w:val="ListParagraph"/>
        <w:numPr>
          <w:ilvl w:val="0"/>
          <w:numId w:val="2"/>
        </w:numPr>
        <w:spacing w:after="80" w:before="0" w:line="320"/>
      </w:pPr>
      <w:r>
        <w:rPr>
          <w:rFonts w:ascii="Calibri" w:cs="Calibri" w:eastAsia="Calibri" w:hAnsi="Calibri"/>
          <w:color w:val="1F1F1F"/>
          <w:sz w:val="22"/>
          <w:szCs w:val="22"/>
        </w:rPr>
        <w:t xml:space="preserve">The Strand animation works on first click in every dress-rehearsal pass</w:t>
      </w:r>
    </w:p>
    <w:p>
      <w:pPr>
        <w:pStyle w:val="ListParagraph"/>
        <w:numPr>
          <w:ilvl w:val="0"/>
          <w:numId w:val="2"/>
        </w:numPr>
        <w:spacing w:after="80" w:before="0" w:line="320"/>
      </w:pPr>
      <w:r>
        <w:rPr>
          <w:rFonts w:ascii="Calibri" w:cs="Calibri" w:eastAsia="Calibri" w:hAnsi="Calibri"/>
          <w:color w:val="1F1F1F"/>
          <w:sz w:val="22"/>
          <w:szCs w:val="22"/>
        </w:rPr>
        <w:t xml:space="preserve">Citizen Lookup stretch surface is live</w:t>
      </w:r>
    </w:p>
    <w:p>
      <w:pPr>
        <w:pStyle w:val="ListParagraph"/>
        <w:numPr>
          <w:ilvl w:val="0"/>
          <w:numId w:val="2"/>
        </w:numPr>
        <w:spacing w:after="80" w:before="0" w:line="320"/>
      </w:pPr>
      <w:r>
        <w:rPr>
          <w:rFonts w:ascii="Calibri" w:cs="Calibri" w:eastAsia="Calibri" w:hAnsi="Calibri"/>
          <w:color w:val="1F1F1F"/>
          <w:sz w:val="22"/>
          <w:szCs w:val="22"/>
        </w:rPr>
        <w:t xml:space="preserve">Three rehearsal passes complete by 16:00 with no new bugs introduced</w:t>
      </w:r>
    </w:p>
    <w:p>
      <w:pPr>
        <w:pStyle w:val="Heading2"/>
        <w:spacing w:after="180" w:before="360" w:line="320"/>
      </w:pPr>
      <w:r>
        <w:rPr>
          <w:rFonts w:ascii="Calibri" w:cs="Calibri" w:eastAsia="Calibri" w:hAnsi="Calibri"/>
          <w:b/>
          <w:bCs/>
          <w:color w:val="1F1F1F"/>
          <w:sz w:val="32"/>
          <w:szCs w:val="32"/>
        </w:rPr>
        <w:t xml:space="preserve">7.3 Reach (opportunistic — only if the team is ahead)</w:t>
      </w:r>
    </w:p>
    <w:p>
      <w:pPr>
        <w:pStyle w:val="ListParagraph"/>
        <w:numPr>
          <w:ilvl w:val="0"/>
          <w:numId w:val="2"/>
        </w:numPr>
        <w:spacing w:after="80" w:before="0" w:line="320"/>
      </w:pPr>
      <w:r>
        <w:rPr>
          <w:rFonts w:ascii="Calibri" w:cs="Calibri" w:eastAsia="Calibri" w:hAnsi="Calibri"/>
          <w:color w:val="1F1F1F"/>
          <w:sz w:val="22"/>
          <w:szCs w:val="22"/>
        </w:rPr>
        <w:t xml:space="preserve">All Target criteria, plus:</w:t>
      </w:r>
    </w:p>
    <w:p>
      <w:pPr>
        <w:pStyle w:val="ListParagraph"/>
        <w:numPr>
          <w:ilvl w:val="0"/>
          <w:numId w:val="2"/>
        </w:numPr>
        <w:spacing w:after="80" w:before="0" w:line="320"/>
      </w:pPr>
      <w:r>
        <w:rPr>
          <w:rFonts w:ascii="Calibri" w:cs="Calibri" w:eastAsia="Calibri" w:hAnsi="Calibri"/>
          <w:color w:val="1F1F1F"/>
          <w:sz w:val="22"/>
          <w:szCs w:val="22"/>
        </w:rPr>
        <w:t xml:space="preserve">The Triangle stretch surface is live with at least one demonstrable lobbying-donations-grants timeline</w:t>
      </w:r>
    </w:p>
    <w:p>
      <w:pPr>
        <w:pStyle w:val="ListParagraph"/>
        <w:numPr>
          <w:ilvl w:val="0"/>
          <w:numId w:val="2"/>
        </w:numPr>
        <w:spacing w:after="80" w:before="0" w:line="320"/>
      </w:pPr>
      <w:r>
        <w:rPr>
          <w:rFonts w:ascii="Calibri" w:cs="Calibri" w:eastAsia="Calibri" w:hAnsi="Calibri"/>
          <w:color w:val="1F1F1F"/>
          <w:sz w:val="22"/>
          <w:szCs w:val="22"/>
        </w:rPr>
        <w:t xml:space="preserve">A walk-around journalist or AG staff member has independently verified a citation chain on their own</w:t>
      </w:r>
    </w:p>
    <w:p>
      <w:pPr>
        <w:pStyle w:val="ListParagraph"/>
        <w:numPr>
          <w:ilvl w:val="0"/>
          <w:numId w:val="2"/>
        </w:numPr>
        <w:spacing w:after="80" w:before="0" w:line="320"/>
      </w:pPr>
      <w:r>
        <w:rPr>
          <w:rFonts w:ascii="Calibri" w:cs="Calibri" w:eastAsia="Calibri" w:hAnsi="Calibri"/>
          <w:color w:val="1F1F1F"/>
          <w:sz w:val="22"/>
          <w:szCs w:val="22"/>
        </w:rPr>
        <w:t xml:space="preserve">Solomon's office has asked for the URL to share internally</w:t>
      </w:r>
    </w:p>
    <w:p>
      <w:r>
        <w:br w:type="page"/>
      </w:r>
    </w:p>
    <w:p>
      <w:pPr>
        <w:pStyle w:val="Heading1"/>
        <w:spacing w:after="240" w:before="480" w:line="320"/>
      </w:pPr>
      <w:r>
        <w:rPr>
          <w:rFonts w:ascii="Calibri" w:cs="Calibri" w:eastAsia="Calibri" w:hAnsi="Calibri"/>
          <w:b/>
          <w:bCs/>
          <w:color w:val="1F1F1F"/>
          <w:sz w:val="44"/>
          <w:szCs w:val="44"/>
        </w:rPr>
        <w:t xml:space="preserve">8 · Risk register</w:t>
      </w:r>
    </w:p>
    <w:tbl>
      <w:tblPr>
        <w:tblW w:type="dxa" w:w="9360"/>
        <w:tblBorders>
          <w:top w:val="single" w:color="D3D1C7" w:sz="6"/>
          <w:left w:val="single" w:color="D3D1C7" w:sz="6"/>
          <w:bottom w:val="single" w:color="D3D1C7" w:sz="6"/>
          <w:right w:val="single" w:color="D3D1C7" w:sz="6"/>
          <w:insideH w:val="single" w:color="D3D1C7" w:sz="4"/>
          <w:insideV w:val="single" w:color="D3D1C7" w:sz="4"/>
        </w:tblBorders>
      </w:tblPr>
      <w:tblGrid>
        <w:gridCol w:w="800"/>
        <w:gridCol w:w="2000"/>
        <w:gridCol w:w="2400"/>
        <w:gridCol w:w="3360"/>
        <w:gridCol w:w="800"/>
      </w:tblGrid>
      <w:tr>
        <w:trPr>
          <w:tblHeader/>
        </w:trPr>
        <w:tc>
          <w:tcPr>
            <w:tcW w:type="dxa" w:w="800"/>
            <w:shd w:fill="F1EFE8" w:val="clear"/>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ID</w:t>
            </w:r>
          </w:p>
        </w:tc>
        <w:tc>
          <w:tcPr>
            <w:tcW w:type="dxa" w:w="2000"/>
            <w:shd w:fill="F1EFE8" w:val="clear"/>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Risk</w:t>
            </w:r>
          </w:p>
        </w:tc>
        <w:tc>
          <w:tcPr>
            <w:tcW w:type="dxa" w:w="2400"/>
            <w:shd w:fill="F1EFE8" w:val="clear"/>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Impact</w:t>
            </w:r>
          </w:p>
        </w:tc>
        <w:tc>
          <w:tcPr>
            <w:tcW w:type="dxa" w:w="3360"/>
            <w:shd w:fill="F1EFE8" w:val="clear"/>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Mitigation</w:t>
            </w:r>
          </w:p>
        </w:tc>
        <w:tc>
          <w:tcPr>
            <w:tcW w:type="dxa" w:w="800"/>
            <w:shd w:fill="F1EFE8" w:val="clear"/>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Severity</w:t>
            </w:r>
          </w:p>
        </w:tc>
      </w:tr>
      <w:tr>
        <w:tc>
          <w:tcPr>
            <w:tcW w:type="dxa" w:w="800"/>
            <w:tcMar>
              <w:top w:type="dxa" w:w="80"/>
              <w:left w:type="dxa" w:w="120"/>
              <w:bottom w:type="dxa" w:w="80"/>
              <w:right w:type="dxa" w:w="120"/>
            </w:tcMar>
          </w:tcPr>
          <w:p>
            <w:pPr>
              <w:spacing w:after="0" w:before="0" w:line="280"/>
            </w:pPr>
            <w:r>
              <w:rPr>
                <w:rFonts w:ascii="Calibri" w:cs="Calibri" w:eastAsia="Calibri" w:hAnsi="Calibri"/>
                <w:b/>
                <w:bCs/>
                <w:color w:val="1F1F1F"/>
                <w:sz w:val="18"/>
                <w:szCs w:val="18"/>
              </w:rPr>
              <w:t xml:space="preserve">R-1</w:t>
            </w:r>
          </w:p>
        </w:tc>
        <w:tc>
          <w:tcPr>
            <w:tcW w:type="dxa" w:w="20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18"/>
                <w:szCs w:val="18"/>
              </w:rPr>
              <w:t xml:space="preserve">Calibration leak in synthesis</w:t>
            </w:r>
          </w:p>
        </w:tc>
        <w:tc>
          <w:tcPr>
            <w:tcW w:type="dxa" w:w="24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18"/>
                <w:szCs w:val="18"/>
              </w:rPr>
              <w:t xml:space="preserve">AG staff or journalist catches an overclaim; reputational damage</w:t>
            </w:r>
          </w:p>
        </w:tc>
        <w:tc>
          <w:tcPr>
            <w:tcW w:type="dxa" w:w="33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18"/>
                <w:szCs w:val="18"/>
              </w:rPr>
              <w:t xml:space="preserve">PYTH-GOV runs three-check validator on every output; 10-case calibration test before showtime; rejection log written to decisions.md</w:t>
            </w:r>
          </w:p>
        </w:tc>
        <w:tc>
          <w:tcPr>
            <w:tcW w:type="dxa" w:w="8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16"/>
                <w:szCs w:val="16"/>
              </w:rPr>
              <w:t xml:space="preserve">High impact, low probability</w:t>
            </w:r>
          </w:p>
        </w:tc>
      </w:tr>
      <w:tr>
        <w:tc>
          <w:tcPr>
            <w:tcW w:type="dxa" w:w="800"/>
            <w:tcMar>
              <w:top w:type="dxa" w:w="80"/>
              <w:left w:type="dxa" w:w="120"/>
              <w:bottom w:type="dxa" w:w="80"/>
              <w:right w:type="dxa" w:w="120"/>
            </w:tcMar>
          </w:tcPr>
          <w:p>
            <w:pPr>
              <w:spacing w:after="0" w:before="0" w:line="280"/>
            </w:pPr>
            <w:r>
              <w:rPr>
                <w:rFonts w:ascii="Calibri" w:cs="Calibri" w:eastAsia="Calibri" w:hAnsi="Calibri"/>
                <w:b/>
                <w:bCs/>
                <w:color w:val="1F1F1F"/>
                <w:sz w:val="18"/>
                <w:szCs w:val="18"/>
              </w:rPr>
              <w:t xml:space="preserve">R-2</w:t>
            </w:r>
          </w:p>
        </w:tc>
        <w:tc>
          <w:tcPr>
            <w:tcW w:type="dxa" w:w="20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18"/>
                <w:szCs w:val="18"/>
              </w:rPr>
              <w:t xml:space="preserve">Database unreachable mid-demo</w:t>
            </w:r>
          </w:p>
        </w:tc>
        <w:tc>
          <w:tcPr>
            <w:tcW w:type="dxa" w:w="24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18"/>
                <w:szCs w:val="18"/>
              </w:rPr>
              <w:t xml:space="preserve">Live demo fails on stage</w:t>
            </w:r>
          </w:p>
        </w:tc>
        <w:tc>
          <w:tcPr>
            <w:tcW w:type="dxa" w:w="33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18"/>
                <w:szCs w:val="18"/>
              </w:rPr>
              <w:t xml:space="preserve">Local Postgres failover rehearsed; pre-cached pages at /cached/; PYTH-OPS owns recovery</w:t>
            </w:r>
          </w:p>
        </w:tc>
        <w:tc>
          <w:tcPr>
            <w:tcW w:type="dxa" w:w="8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16"/>
                <w:szCs w:val="16"/>
              </w:rPr>
              <w:t xml:space="preserve">High impact, medium probability</w:t>
            </w:r>
          </w:p>
        </w:tc>
      </w:tr>
      <w:tr>
        <w:tc>
          <w:tcPr>
            <w:tcW w:type="dxa" w:w="800"/>
            <w:tcMar>
              <w:top w:type="dxa" w:w="80"/>
              <w:left w:type="dxa" w:w="120"/>
              <w:bottom w:type="dxa" w:w="80"/>
              <w:right w:type="dxa" w:w="120"/>
            </w:tcMar>
          </w:tcPr>
          <w:p>
            <w:pPr>
              <w:spacing w:after="0" w:before="0" w:line="280"/>
            </w:pPr>
            <w:r>
              <w:rPr>
                <w:rFonts w:ascii="Calibri" w:cs="Calibri" w:eastAsia="Calibri" w:hAnsi="Calibri"/>
                <w:b/>
                <w:bCs/>
                <w:color w:val="1F1F1F"/>
                <w:sz w:val="18"/>
                <w:szCs w:val="18"/>
              </w:rPr>
              <w:t xml:space="preserve">R-3</w:t>
            </w:r>
          </w:p>
        </w:tc>
        <w:tc>
          <w:tcPr>
            <w:tcW w:type="dxa" w:w="20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18"/>
                <w:szCs w:val="18"/>
              </w:rPr>
              <w:t xml:space="preserve">LLM rate limit during demo</w:t>
            </w:r>
          </w:p>
        </w:tc>
        <w:tc>
          <w:tcPr>
            <w:tcW w:type="dxa" w:w="24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18"/>
                <w:szCs w:val="18"/>
              </w:rPr>
              <w:t xml:space="preserve">Briefs cannot generate live</w:t>
            </w:r>
          </w:p>
        </w:tc>
        <w:tc>
          <w:tcPr>
            <w:tcW w:type="dxa" w:w="33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18"/>
                <w:szCs w:val="18"/>
              </w:rPr>
              <w:t xml:space="preserve">Bedrock failover endpoint configured; pre-cached briefs for all 10 known cases</w:t>
            </w:r>
          </w:p>
        </w:tc>
        <w:tc>
          <w:tcPr>
            <w:tcW w:type="dxa" w:w="8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16"/>
                <w:szCs w:val="16"/>
              </w:rPr>
              <w:t xml:space="preserve">Medium impact, medium probability</w:t>
            </w:r>
          </w:p>
        </w:tc>
      </w:tr>
      <w:tr>
        <w:tc>
          <w:tcPr>
            <w:tcW w:type="dxa" w:w="800"/>
            <w:tcMar>
              <w:top w:type="dxa" w:w="80"/>
              <w:left w:type="dxa" w:w="120"/>
              <w:bottom w:type="dxa" w:w="80"/>
              <w:right w:type="dxa" w:w="120"/>
            </w:tcMar>
          </w:tcPr>
          <w:p>
            <w:pPr>
              <w:spacing w:after="0" w:before="0" w:line="280"/>
            </w:pPr>
            <w:r>
              <w:rPr>
                <w:rFonts w:ascii="Calibri" w:cs="Calibri" w:eastAsia="Calibri" w:hAnsi="Calibri"/>
                <w:b/>
                <w:bCs/>
                <w:color w:val="1F1F1F"/>
                <w:sz w:val="18"/>
                <w:szCs w:val="18"/>
              </w:rPr>
              <w:t xml:space="preserve">R-4</w:t>
            </w:r>
          </w:p>
        </w:tc>
        <w:tc>
          <w:tcPr>
            <w:tcW w:type="dxa" w:w="20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18"/>
                <w:szCs w:val="18"/>
              </w:rPr>
              <w:t xml:space="preserve">Entity resolution wrong on a flagged entity</w:t>
            </w:r>
          </w:p>
        </w:tc>
        <w:tc>
          <w:tcPr>
            <w:tcW w:type="dxa" w:w="24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18"/>
                <w:szCs w:val="18"/>
              </w:rPr>
              <w:t xml:space="preserve">False attribution to a real person or organization</w:t>
            </w:r>
          </w:p>
        </w:tc>
        <w:tc>
          <w:tcPr>
            <w:tcW w:type="dxa" w:w="33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18"/>
                <w:szCs w:val="18"/>
              </w:rPr>
              <w:t xml:space="preserve">Confidence threshold ≥ 0.92 required for entity claims; ≥ 0.95 for individuals; LOW_CONFIDENCE outputs are blocked, not flagged</w:t>
            </w:r>
          </w:p>
        </w:tc>
        <w:tc>
          <w:tcPr>
            <w:tcW w:type="dxa" w:w="8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16"/>
                <w:szCs w:val="16"/>
              </w:rPr>
              <w:t xml:space="preserve">High impact, low probability</w:t>
            </w:r>
          </w:p>
        </w:tc>
      </w:tr>
      <w:tr>
        <w:tc>
          <w:tcPr>
            <w:tcW w:type="dxa" w:w="800"/>
            <w:tcMar>
              <w:top w:type="dxa" w:w="80"/>
              <w:left w:type="dxa" w:w="120"/>
              <w:bottom w:type="dxa" w:w="80"/>
              <w:right w:type="dxa" w:w="120"/>
            </w:tcMar>
          </w:tcPr>
          <w:p>
            <w:pPr>
              <w:spacing w:after="0" w:before="0" w:line="280"/>
            </w:pPr>
            <w:r>
              <w:rPr>
                <w:rFonts w:ascii="Calibri" w:cs="Calibri" w:eastAsia="Calibri" w:hAnsi="Calibri"/>
                <w:b/>
                <w:bCs/>
                <w:color w:val="1F1F1F"/>
                <w:sz w:val="18"/>
                <w:szCs w:val="18"/>
              </w:rPr>
              <w:t xml:space="preserve">R-5</w:t>
            </w:r>
          </w:p>
        </w:tc>
        <w:tc>
          <w:tcPr>
            <w:tcW w:type="dxa" w:w="20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18"/>
                <w:szCs w:val="18"/>
              </w:rPr>
              <w:t xml:space="preserve">Build runs late, scope unmanageable at 14:00</w:t>
            </w:r>
          </w:p>
        </w:tc>
        <w:tc>
          <w:tcPr>
            <w:tcW w:type="dxa" w:w="24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18"/>
                <w:szCs w:val="18"/>
              </w:rPr>
              <w:t xml:space="preserve">Demo is incomplete or buggy</w:t>
            </w:r>
          </w:p>
        </w:tc>
        <w:tc>
          <w:tcPr>
            <w:tcW w:type="dxa" w:w="33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18"/>
                <w:szCs w:val="18"/>
              </w:rPr>
              <w:t xml:space="preserve">PYTH-LEAD has authority to cut scope at 11:30, 14:00, 15:30 gates; cut order documented in CLAUDE.md</w:t>
            </w:r>
          </w:p>
        </w:tc>
        <w:tc>
          <w:tcPr>
            <w:tcW w:type="dxa" w:w="8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16"/>
                <w:szCs w:val="16"/>
              </w:rPr>
              <w:t xml:space="preserve">Medium impact, high probability</w:t>
            </w:r>
          </w:p>
        </w:tc>
      </w:tr>
      <w:tr>
        <w:tc>
          <w:tcPr>
            <w:tcW w:type="dxa" w:w="800"/>
            <w:tcMar>
              <w:top w:type="dxa" w:w="80"/>
              <w:left w:type="dxa" w:w="120"/>
              <w:bottom w:type="dxa" w:w="80"/>
              <w:right w:type="dxa" w:w="120"/>
            </w:tcMar>
          </w:tcPr>
          <w:p>
            <w:pPr>
              <w:spacing w:after="0" w:before="0" w:line="280"/>
            </w:pPr>
            <w:r>
              <w:rPr>
                <w:rFonts w:ascii="Calibri" w:cs="Calibri" w:eastAsia="Calibri" w:hAnsi="Calibri"/>
                <w:b/>
                <w:bCs/>
                <w:color w:val="1F1F1F"/>
                <w:sz w:val="18"/>
                <w:szCs w:val="18"/>
              </w:rPr>
              <w:t xml:space="preserve">R-6</w:t>
            </w:r>
          </w:p>
        </w:tc>
        <w:tc>
          <w:tcPr>
            <w:tcW w:type="dxa" w:w="20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18"/>
                <w:szCs w:val="18"/>
              </w:rPr>
              <w:t xml:space="preserve">Pythagorithm Proof Methodology comes across as vendor pitch</w:t>
            </w:r>
          </w:p>
        </w:tc>
        <w:tc>
          <w:tcPr>
            <w:tcW w:type="dxa" w:w="24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18"/>
                <w:szCs w:val="18"/>
              </w:rPr>
              <w:t xml:space="preserve">Audience disengages; the room rewards collaboration</w:t>
            </w:r>
          </w:p>
        </w:tc>
        <w:tc>
          <w:tcPr>
            <w:tcW w:type="dxa" w:w="33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18"/>
                <w:szCs w:val="18"/>
              </w:rPr>
              <w:t xml:space="preserve">Methodology never named in pitch; Proof badge speaks; demand pull only; What-You-Do-Not-Say list memorized</w:t>
            </w:r>
          </w:p>
        </w:tc>
        <w:tc>
          <w:tcPr>
            <w:tcW w:type="dxa" w:w="8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16"/>
                <w:szCs w:val="16"/>
              </w:rPr>
              <w:t xml:space="preserve">Medium impact, medium probability</w:t>
            </w:r>
          </w:p>
        </w:tc>
      </w:tr>
      <w:tr>
        <w:tc>
          <w:tcPr>
            <w:tcW w:type="dxa" w:w="800"/>
            <w:tcMar>
              <w:top w:type="dxa" w:w="80"/>
              <w:left w:type="dxa" w:w="120"/>
              <w:bottom w:type="dxa" w:w="80"/>
              <w:right w:type="dxa" w:w="120"/>
            </w:tcMar>
          </w:tcPr>
          <w:p>
            <w:pPr>
              <w:spacing w:after="0" w:before="0" w:line="280"/>
            </w:pPr>
            <w:r>
              <w:rPr>
                <w:rFonts w:ascii="Calibri" w:cs="Calibri" w:eastAsia="Calibri" w:hAnsi="Calibri"/>
                <w:b/>
                <w:bCs/>
                <w:color w:val="1F1F1F"/>
                <w:sz w:val="18"/>
                <w:szCs w:val="18"/>
              </w:rPr>
              <w:t xml:space="preserve">R-7</w:t>
            </w:r>
          </w:p>
        </w:tc>
        <w:tc>
          <w:tcPr>
            <w:tcW w:type="dxa" w:w="20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18"/>
                <w:szCs w:val="18"/>
              </w:rPr>
              <w:t xml:space="preserve">AWS instance type provided by hosts is unusable for our stack</w:t>
            </w:r>
          </w:p>
        </w:tc>
        <w:tc>
          <w:tcPr>
            <w:tcW w:type="dxa" w:w="24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18"/>
                <w:szCs w:val="18"/>
              </w:rPr>
              <w:t xml:space="preserve">Cannot deploy to provided infrastructure</w:t>
            </w:r>
          </w:p>
        </w:tc>
        <w:tc>
          <w:tcPr>
            <w:tcW w:type="dxa" w:w="33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18"/>
                <w:szCs w:val="18"/>
              </w:rPr>
              <w:t xml:space="preserve">PYTH-OPS spec is flexible — non-negotiables only on region, HTTPS, secrets, rollback, failover, logs</w:t>
            </w:r>
          </w:p>
        </w:tc>
        <w:tc>
          <w:tcPr>
            <w:tcW w:type="dxa" w:w="8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16"/>
                <w:szCs w:val="16"/>
              </w:rPr>
              <w:t xml:space="preserve">Medium impact, low probability</w:t>
            </w:r>
          </w:p>
        </w:tc>
      </w:tr>
      <w:tr>
        <w:tc>
          <w:tcPr>
            <w:tcW w:type="dxa" w:w="800"/>
            <w:tcMar>
              <w:top w:type="dxa" w:w="80"/>
              <w:left w:type="dxa" w:w="120"/>
              <w:bottom w:type="dxa" w:w="80"/>
              <w:right w:type="dxa" w:w="120"/>
            </w:tcMar>
          </w:tcPr>
          <w:p>
            <w:pPr>
              <w:spacing w:after="0" w:before="0" w:line="280"/>
            </w:pPr>
            <w:r>
              <w:rPr>
                <w:rFonts w:ascii="Calibri" w:cs="Calibri" w:eastAsia="Calibri" w:hAnsi="Calibri"/>
                <w:b/>
                <w:bCs/>
                <w:color w:val="1F1F1F"/>
                <w:sz w:val="18"/>
                <w:szCs w:val="18"/>
              </w:rPr>
              <w:t xml:space="preserve">R-8</w:t>
            </w:r>
          </w:p>
        </w:tc>
        <w:tc>
          <w:tcPr>
            <w:tcW w:type="dxa" w:w="20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18"/>
                <w:szCs w:val="18"/>
              </w:rPr>
              <w:t xml:space="preserve">Direct quote &gt;15 words slips through into a Brief</w:t>
            </w:r>
          </w:p>
        </w:tc>
        <w:tc>
          <w:tcPr>
            <w:tcW w:type="dxa" w:w="24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18"/>
                <w:szCs w:val="18"/>
              </w:rPr>
              <w:t xml:space="preserve">Copyright concern, citation-discipline failure</w:t>
            </w:r>
          </w:p>
        </w:tc>
        <w:tc>
          <w:tcPr>
            <w:tcW w:type="dxa" w:w="33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18"/>
                <w:szCs w:val="18"/>
              </w:rPr>
              <w:t xml:space="preserve">Programmatic word-count check on every quoted excerpt before render; PYTH-GOV blocks at validator</w:t>
            </w:r>
          </w:p>
        </w:tc>
        <w:tc>
          <w:tcPr>
            <w:tcW w:type="dxa" w:w="8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16"/>
                <w:szCs w:val="16"/>
              </w:rPr>
              <w:t xml:space="preserve">Low impact, low probability</w:t>
            </w:r>
          </w:p>
        </w:tc>
      </w:tr>
      <w:tr>
        <w:tc>
          <w:tcPr>
            <w:tcW w:type="dxa" w:w="800"/>
            <w:tcMar>
              <w:top w:type="dxa" w:w="80"/>
              <w:left w:type="dxa" w:w="120"/>
              <w:bottom w:type="dxa" w:w="80"/>
              <w:right w:type="dxa" w:w="120"/>
            </w:tcMar>
          </w:tcPr>
          <w:p>
            <w:pPr>
              <w:spacing w:after="0" w:before="0" w:line="280"/>
            </w:pPr>
            <w:r>
              <w:rPr>
                <w:rFonts w:ascii="Calibri" w:cs="Calibri" w:eastAsia="Calibri" w:hAnsi="Calibri"/>
                <w:b/>
                <w:bCs/>
                <w:color w:val="1F1F1F"/>
                <w:sz w:val="18"/>
                <w:szCs w:val="18"/>
              </w:rPr>
              <w:t xml:space="preserve">R-9</w:t>
            </w:r>
          </w:p>
        </w:tc>
        <w:tc>
          <w:tcPr>
            <w:tcW w:type="dxa" w:w="20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18"/>
                <w:szCs w:val="18"/>
              </w:rPr>
              <w:t xml:space="preserve">A Minister types a postal code that returns no results (Citizen Lookup)</w:t>
            </w:r>
          </w:p>
        </w:tc>
        <w:tc>
          <w:tcPr>
            <w:tcW w:type="dxa" w:w="24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18"/>
                <w:szCs w:val="18"/>
              </w:rPr>
              <w:t xml:space="preserve">Embarrassing zero-state in the personal moment</w:t>
            </w:r>
          </w:p>
        </w:tc>
        <w:tc>
          <w:tcPr>
            <w:tcW w:type="dxa" w:w="33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18"/>
                <w:szCs w:val="18"/>
              </w:rPr>
              <w:t xml:space="preserve">Pre-cache K1A 0A6 (PMO) and at least 20 other notable postal codes; zero-state UI explains data scope</w:t>
            </w:r>
          </w:p>
        </w:tc>
        <w:tc>
          <w:tcPr>
            <w:tcW w:type="dxa" w:w="8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16"/>
                <w:szCs w:val="16"/>
              </w:rPr>
              <w:t xml:space="preserve">Low impact, medium probability</w:t>
            </w:r>
          </w:p>
        </w:tc>
      </w:tr>
      <w:tr>
        <w:tc>
          <w:tcPr>
            <w:tcW w:type="dxa" w:w="800"/>
            <w:tcMar>
              <w:top w:type="dxa" w:w="80"/>
              <w:left w:type="dxa" w:w="120"/>
              <w:bottom w:type="dxa" w:w="80"/>
              <w:right w:type="dxa" w:w="120"/>
            </w:tcMar>
          </w:tcPr>
          <w:p>
            <w:pPr>
              <w:spacing w:after="0" w:before="0" w:line="280"/>
            </w:pPr>
            <w:r>
              <w:rPr>
                <w:rFonts w:ascii="Calibri" w:cs="Calibri" w:eastAsia="Calibri" w:hAnsi="Calibri"/>
                <w:b/>
                <w:bCs/>
                <w:color w:val="1F1F1F"/>
                <w:sz w:val="18"/>
                <w:szCs w:val="18"/>
              </w:rPr>
              <w:t xml:space="preserve">R-10</w:t>
            </w:r>
          </w:p>
        </w:tc>
        <w:tc>
          <w:tcPr>
            <w:tcW w:type="dxa" w:w="20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18"/>
                <w:szCs w:val="18"/>
              </w:rPr>
              <w:t xml:space="preserve">Will is asked a question for which no agent has prepared an answer</w:t>
            </w:r>
          </w:p>
        </w:tc>
        <w:tc>
          <w:tcPr>
            <w:tcW w:type="dxa" w:w="24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18"/>
                <w:szCs w:val="18"/>
              </w:rPr>
              <w:t xml:space="preserve">Awkward live moment</w:t>
            </w:r>
          </w:p>
        </w:tc>
        <w:tc>
          <w:tcPr>
            <w:tcW w:type="dxa" w:w="33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18"/>
                <w:szCs w:val="18"/>
              </w:rPr>
              <w:t xml:space="preserve">Q&amp;A list in briefing covers 8 anticipated questions; safe fallback is 'I want to come back to that — let me show you something related'</w:t>
            </w:r>
          </w:p>
        </w:tc>
        <w:tc>
          <w:tcPr>
            <w:tcW w:type="dxa" w:w="80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16"/>
                <w:szCs w:val="16"/>
              </w:rPr>
              <w:t xml:space="preserve">Low impact, medium probability</w:t>
            </w:r>
          </w:p>
        </w:tc>
      </w:tr>
    </w:tbl>
    <w:p>
      <w:r>
        <w:br w:type="page"/>
      </w:r>
    </w:p>
    <w:p>
      <w:pPr>
        <w:pStyle w:val="Heading1"/>
        <w:spacing w:after="240" w:before="480" w:line="320"/>
      </w:pPr>
      <w:r>
        <w:rPr>
          <w:rFonts w:ascii="Calibri" w:cs="Calibri" w:eastAsia="Calibri" w:hAnsi="Calibri"/>
          <w:b/>
          <w:bCs/>
          <w:color w:val="1F1F1F"/>
          <w:sz w:val="44"/>
          <w:szCs w:val="44"/>
        </w:rPr>
        <w:t xml:space="preserve">9 · Assumptions and dependencies</w:t>
      </w:r>
    </w:p>
    <w:p>
      <w:pPr>
        <w:pStyle w:val="Heading2"/>
        <w:spacing w:after="180" w:before="360" w:line="320"/>
      </w:pPr>
      <w:r>
        <w:rPr>
          <w:rFonts w:ascii="Calibri" w:cs="Calibri" w:eastAsia="Calibri" w:hAnsi="Calibri"/>
          <w:b/>
          <w:bCs/>
          <w:color w:val="1F1F1F"/>
          <w:sz w:val="32"/>
          <w:szCs w:val="32"/>
        </w:rPr>
        <w:t xml:space="preserve">9.1 Assumptions</w:t>
      </w:r>
    </w:p>
    <w:p>
      <w:pPr>
        <w:pStyle w:val="ListParagraph"/>
        <w:numPr>
          <w:ilvl w:val="0"/>
          <w:numId w:val="2"/>
        </w:numPr>
        <w:spacing w:after="80" w:before="0" w:line="320"/>
      </w:pPr>
      <w:r>
        <w:rPr>
          <w:rFonts w:ascii="Calibri" w:cs="Calibri" w:eastAsia="Calibri" w:hAnsi="Calibri"/>
          <w:color w:val="1F1F1F"/>
          <w:sz w:val="22"/>
          <w:szCs w:val="22"/>
        </w:rPr>
        <w:t xml:space="preserve">Hackathon-provided AWS account is provisioned at event start (08:00) with Bedrock access, ECR, ALB capability, and CloudWatch enabled in ca-central-1</w:t>
      </w:r>
    </w:p>
    <w:p>
      <w:pPr>
        <w:pStyle w:val="ListParagraph"/>
        <w:numPr>
          <w:ilvl w:val="0"/>
          <w:numId w:val="2"/>
        </w:numPr>
        <w:spacing w:after="80" w:before="0" w:line="320"/>
      </w:pPr>
      <w:r>
        <w:rPr>
          <w:rFonts w:ascii="Calibri" w:cs="Calibri" w:eastAsia="Calibri" w:hAnsi="Calibri"/>
          <w:color w:val="1F1F1F"/>
          <w:sz w:val="22"/>
          <w:szCs w:val="22"/>
        </w:rPr>
        <w:t xml:space="preserve">Anthropic API key (Pythagorithm production) remains active as failover for direct LLM calls</w:t>
      </w:r>
    </w:p>
    <w:p>
      <w:pPr>
        <w:pStyle w:val="ListParagraph"/>
        <w:numPr>
          <w:ilvl w:val="0"/>
          <w:numId w:val="2"/>
        </w:numPr>
        <w:spacing w:after="80" w:before="0" w:line="320"/>
      </w:pPr>
      <w:r>
        <w:rPr>
          <w:rFonts w:ascii="Calibri" w:cs="Calibri" w:eastAsia="Calibri" w:hAnsi="Calibri"/>
          <w:color w:val="1F1F1F"/>
          <w:sz w:val="22"/>
          <w:szCs w:val="22"/>
        </w:rPr>
        <w:t xml:space="preserve">AWS Bedrock provides Claude Opus 4.6 and Sonnet 4 in ca-central-1 (or us-east-1 fallback)</w:t>
      </w:r>
    </w:p>
    <w:p>
      <w:pPr>
        <w:pStyle w:val="ListParagraph"/>
        <w:numPr>
          <w:ilvl w:val="0"/>
          <w:numId w:val="2"/>
        </w:numPr>
        <w:spacing w:after="80" w:before="0" w:line="320"/>
      </w:pPr>
      <w:r>
        <w:rPr>
          <w:rFonts w:ascii="Calibri" w:cs="Calibri" w:eastAsia="Calibri" w:hAnsi="Calibri"/>
          <w:color w:val="1F1F1F"/>
          <w:sz w:val="22"/>
          <w:szCs w:val="22"/>
        </w:rPr>
        <w:t xml:space="preserve">AG of Canada and AG of Alberta report PDFs are publicly accessible without authentication</w:t>
      </w:r>
    </w:p>
    <w:p>
      <w:pPr>
        <w:pStyle w:val="ListParagraph"/>
        <w:numPr>
          <w:ilvl w:val="0"/>
          <w:numId w:val="2"/>
        </w:numPr>
        <w:spacing w:after="80" w:before="0" w:line="320"/>
      </w:pPr>
      <w:r>
        <w:rPr>
          <w:rFonts w:ascii="Calibri" w:cs="Calibri" w:eastAsia="Calibri" w:hAnsi="Calibri"/>
          <w:color w:val="1F1F1F"/>
          <w:sz w:val="22"/>
          <w:szCs w:val="22"/>
        </w:rPr>
        <w:t xml:space="preserve">GC InfoBase exposes program-level DRR data via API or scrapable HTML</w:t>
      </w:r>
    </w:p>
    <w:p>
      <w:pPr>
        <w:pStyle w:val="ListParagraph"/>
        <w:numPr>
          <w:ilvl w:val="0"/>
          <w:numId w:val="2"/>
        </w:numPr>
        <w:spacing w:after="80" w:before="0" w:line="320"/>
      </w:pPr>
      <w:r>
        <w:rPr>
          <w:rFonts w:ascii="Calibri" w:cs="Calibri" w:eastAsia="Calibri" w:hAnsi="Calibri"/>
          <w:color w:val="1F1F1F"/>
          <w:sz w:val="22"/>
          <w:szCs w:val="22"/>
        </w:rPr>
        <w:t xml:space="preserve">Will's laptop has 16GB+ RAM and at least 50GB free disk for local Postgres failover copy</w:t>
      </w:r>
    </w:p>
    <w:p>
      <w:pPr>
        <w:pStyle w:val="ListParagraph"/>
        <w:numPr>
          <w:ilvl w:val="0"/>
          <w:numId w:val="2"/>
        </w:numPr>
        <w:spacing w:after="80" w:before="0" w:line="320"/>
      </w:pPr>
      <w:r>
        <w:rPr>
          <w:rFonts w:ascii="Calibri" w:cs="Calibri" w:eastAsia="Calibri" w:hAnsi="Calibri"/>
          <w:color w:val="1F1F1F"/>
          <w:sz w:val="22"/>
          <w:szCs w:val="22"/>
        </w:rPr>
        <w:t xml:space="preserve">Kiro pre-event SQL is written and reviewed tonight; not used at runtime</w:t>
      </w:r>
    </w:p>
    <w:p>
      <w:pPr>
        <w:pStyle w:val="Heading2"/>
        <w:spacing w:after="180" w:before="360" w:line="320"/>
      </w:pPr>
      <w:r>
        <w:rPr>
          <w:rFonts w:ascii="Calibri" w:cs="Calibri" w:eastAsia="Calibri" w:hAnsi="Calibri"/>
          <w:b/>
          <w:bCs/>
          <w:color w:val="1F1F1F"/>
          <w:sz w:val="32"/>
          <w:szCs w:val="32"/>
        </w:rPr>
        <w:t xml:space="preserve">9.2 Dependencies</w:t>
      </w:r>
    </w:p>
    <w:p>
      <w:pPr>
        <w:pStyle w:val="ListParagraph"/>
        <w:numPr>
          <w:ilvl w:val="0"/>
          <w:numId w:val="2"/>
        </w:numPr>
        <w:spacing w:after="80" w:before="0" w:line="320"/>
      </w:pPr>
      <w:r>
        <w:rPr>
          <w:rFonts w:ascii="Calibri" w:cs="Calibri" w:eastAsia="Calibri" w:hAnsi="Calibri"/>
          <w:color w:val="1F1F1F"/>
          <w:sz w:val="22"/>
          <w:szCs w:val="22"/>
        </w:rPr>
        <w:t xml:space="preserve">GovAlta/agency-26-hackathon repo remains accessible and unchanged during the day</w:t>
      </w:r>
    </w:p>
    <w:p>
      <w:pPr>
        <w:pStyle w:val="ListParagraph"/>
        <w:numPr>
          <w:ilvl w:val="0"/>
          <w:numId w:val="2"/>
        </w:numPr>
        <w:spacing w:after="80" w:before="0" w:line="320"/>
      </w:pPr>
      <w:r>
        <w:rPr>
          <w:rFonts w:ascii="Calibri" w:cs="Calibri" w:eastAsia="Calibri" w:hAnsi="Calibri"/>
          <w:color w:val="1F1F1F"/>
          <w:sz w:val="22"/>
          <w:szCs w:val="22"/>
        </w:rPr>
        <w:t xml:space="preserve">Render-hosted Postgres credentials remain valid and unchanged</w:t>
      </w:r>
    </w:p>
    <w:p>
      <w:pPr>
        <w:pStyle w:val="ListParagraph"/>
        <w:numPr>
          <w:ilvl w:val="0"/>
          <w:numId w:val="2"/>
        </w:numPr>
        <w:spacing w:after="80" w:before="0" w:line="320"/>
      </w:pPr>
      <w:r>
        <w:rPr>
          <w:rFonts w:ascii="Calibri" w:cs="Calibri" w:eastAsia="Calibri" w:hAnsi="Calibri"/>
          <w:color w:val="1F1F1F"/>
          <w:sz w:val="22"/>
          <w:szCs w:val="22"/>
        </w:rPr>
        <w:t xml:space="preserve">Hackathon-provided AWS account credentials are delivered at 08:00 with Bedrock access enabled</w:t>
      </w:r>
    </w:p>
    <w:p>
      <w:pPr>
        <w:pStyle w:val="ListParagraph"/>
        <w:numPr>
          <w:ilvl w:val="0"/>
          <w:numId w:val="2"/>
        </w:numPr>
        <w:spacing w:after="80" w:before="0" w:line="320"/>
      </w:pPr>
      <w:r>
        <w:rPr>
          <w:rFonts w:ascii="Calibri" w:cs="Calibri" w:eastAsia="Calibri" w:hAnsi="Calibri"/>
          <w:color w:val="1F1F1F"/>
          <w:sz w:val="22"/>
          <w:szCs w:val="22"/>
        </w:rPr>
        <w:t xml:space="preserve">Anthropic API key (Pythagorithm production) remains active for failover</w:t>
      </w:r>
    </w:p>
    <w:p>
      <w:pPr>
        <w:pStyle w:val="ListParagraph"/>
        <w:numPr>
          <w:ilvl w:val="0"/>
          <w:numId w:val="2"/>
        </w:numPr>
        <w:spacing w:after="80" w:before="0" w:line="320"/>
      </w:pPr>
      <w:r>
        <w:rPr>
          <w:rFonts w:ascii="Calibri" w:cs="Calibri" w:eastAsia="Calibri" w:hAnsi="Calibri"/>
          <w:color w:val="1F1F1F"/>
          <w:sz w:val="22"/>
          <w:szCs w:val="22"/>
        </w:rPr>
        <w:t xml:space="preserve">Bedrock model `anthropic.claude-opus-4-6-20250514-v1:0` and `anthropic.claude-sonnet-4-20250514-v1:0` are available in the provided account</w:t>
      </w:r>
    </w:p>
    <w:p>
      <w:r>
        <w:br w:type="page"/>
      </w:r>
    </w:p>
    <w:p>
      <w:pPr>
        <w:pStyle w:val="Heading1"/>
        <w:spacing w:after="240" w:before="480" w:line="320"/>
      </w:pPr>
      <w:r>
        <w:rPr>
          <w:rFonts w:ascii="Calibri" w:cs="Calibri" w:eastAsia="Calibri" w:hAnsi="Calibri"/>
          <w:b/>
          <w:bCs/>
          <w:color w:val="1F1F1F"/>
          <w:sz w:val="44"/>
          <w:szCs w:val="44"/>
        </w:rPr>
        <w:t xml:space="preserve">10 · Glossary</w:t>
      </w:r>
    </w:p>
    <w:tbl>
      <w:tblPr>
        <w:tblW w:type="dxa" w:w="9360"/>
        <w:tblBorders>
          <w:top w:val="single" w:color="D3D1C7" w:sz="6"/>
          <w:left w:val="single" w:color="D3D1C7" w:sz="6"/>
          <w:bottom w:val="single" w:color="D3D1C7" w:sz="6"/>
          <w:right w:val="single" w:color="D3D1C7" w:sz="6"/>
          <w:insideH w:val="single" w:color="D3D1C7" w:sz="4"/>
          <w:insideV w:val="single" w:color="D3D1C7" w:sz="4"/>
        </w:tblBorders>
      </w:tblPr>
      <w:tblGrid>
        <w:gridCol w:w="2800"/>
        <w:gridCol w:w="6560"/>
      </w:tblGrid>
      <w:tr>
        <w:trPr>
          <w:tblHeader/>
        </w:trPr>
        <w:tc>
          <w:tcPr>
            <w:tcW w:type="dxa" w:w="2800"/>
            <w:shd w:fill="F1EFE8" w:val="clear"/>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Term</w:t>
            </w:r>
          </w:p>
        </w:tc>
        <w:tc>
          <w:tcPr>
            <w:tcW w:type="dxa" w:w="6560"/>
            <w:shd w:fill="F1EFE8" w:val="clear"/>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Definition</w:t>
            </w:r>
          </w:p>
        </w:tc>
      </w:tr>
      <w:tr>
        <w:tc>
          <w:tcPr>
            <w:tcW w:type="dxa" w:w="2800"/>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Counterfactual Brief</w:t>
            </w:r>
          </w:p>
        </w:tc>
        <w:tc>
          <w:tcPr>
            <w:tcW w:type="dxa" w:w="65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A surface that retrieves k-nearest comparable grants WITH descriptions and synthesizes what briefs in a category typically state. Conservatively framed as observation, not prescription.</w:t>
            </w:r>
          </w:p>
        </w:tc>
      </w:tr>
      <w:tr>
        <w:tc>
          <w:tcPr>
            <w:tcW w:type="dxa" w:w="2800"/>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Fauxna</w:t>
            </w:r>
          </w:p>
        </w:tc>
        <w:tc>
          <w:tcPr>
            <w:tcW w:type="dxa" w:w="65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Term from the Intelligence Manifold (Alford, 2026) for resident agents bound to a stratum. Our agent team uses this conceptual model.</w:t>
            </w:r>
          </w:p>
        </w:tc>
      </w:tr>
      <w:tr>
        <w:tc>
          <w:tcPr>
            <w:tcW w:type="dxa" w:w="2800"/>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Glass Box</w:t>
            </w:r>
          </w:p>
        </w:tc>
        <w:tc>
          <w:tcPr>
            <w:tcW w:type="dxa" w:w="65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Surface 1: analyst-facing findings feed with visible Proof badge on every score.</w:t>
            </w:r>
          </w:p>
        </w:tc>
      </w:tr>
      <w:tr>
        <w:tc>
          <w:tcPr>
            <w:tcW w:type="dxa" w:w="2800"/>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Manifold</w:t>
            </w:r>
          </w:p>
        </w:tc>
        <w:tc>
          <w:tcPr>
            <w:tcW w:type="dxa" w:w="65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Shorthand for the Intelligence Manifold framework (Alford, 2026). We adopt three primitives (strata, strands, bounded perception); we do not implement the full geometric system.</w:t>
            </w:r>
          </w:p>
        </w:tc>
      </w:tr>
      <w:tr>
        <w:tc>
          <w:tcPr>
            <w:tcW w:type="dxa" w:w="2800"/>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Outcome Brief</w:t>
            </w:r>
          </w:p>
        </w:tc>
        <w:tc>
          <w:tcPr>
            <w:tcW w:type="dxa" w:w="65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Surface 2: one-page synthesis of what a grant was for and what was delivered, sourced from public records.</w:t>
            </w:r>
          </w:p>
        </w:tc>
      </w:tr>
      <w:tr>
        <w:tc>
          <w:tcPr>
            <w:tcW w:type="dxa" w:w="2800"/>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Proof Badge</w:t>
            </w:r>
          </w:p>
        </w:tc>
        <w:tc>
          <w:tcPr>
            <w:tcW w:type="dxa" w:w="65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The user-visible primitive showing whether a Pythagorithm Proof token's four tiers all passed (sage) or had at least one issue (ember).</w:t>
            </w:r>
          </w:p>
        </w:tc>
      </w:tr>
      <w:tr>
        <w:tc>
          <w:tcPr>
            <w:tcW w:type="dxa" w:w="2800"/>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Proof Drawer</w:t>
            </w:r>
          </w:p>
        </w:tc>
        <w:tc>
          <w:tcPr>
            <w:tcW w:type="dxa" w:w="65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The expanded view of a Proof token showing tier-by-tier reasoning trace.</w:t>
            </w:r>
          </w:p>
        </w:tc>
      </w:tr>
      <w:tr>
        <w:tc>
          <w:tcPr>
            <w:tcW w:type="dxa" w:w="2800"/>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Proof Token</w:t>
            </w:r>
          </w:p>
        </w:tc>
        <w:tc>
          <w:tcPr>
            <w:tcW w:type="dxa" w:w="65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JSON object containing Tier 1 (input governance), Tier 2 (contextual evidence), Tier 3 (output governance), Tier 4 (audit telemetry). The canonical artifact of the Pythagorithm Proof Methodology.</w:t>
            </w:r>
          </w:p>
        </w:tc>
      </w:tr>
      <w:tr>
        <w:tc>
          <w:tcPr>
            <w:tcW w:type="dxa" w:w="2800"/>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Pythagorithm Proof Methodology</w:t>
            </w:r>
          </w:p>
        </w:tc>
        <w:tc>
          <w:tcPr>
            <w:tcW w:type="dxa" w:w="65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The methodology Pythagorithm uses to make AI accountable. Title case, never all-caps, never called a framework. Shorthand: the Proof Methodology.</w:t>
            </w:r>
          </w:p>
        </w:tc>
      </w:tr>
      <w:tr>
        <w:tc>
          <w:tcPr>
            <w:tcW w:type="dxa" w:w="2800"/>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Stratum / Strata</w:t>
            </w:r>
          </w:p>
        </w:tc>
        <w:tc>
          <w:tcPr>
            <w:tcW w:type="dxa" w:w="65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Term from the Intelligence Manifold for surfaces of differing informational density. Our agent team is organized this way.</w:t>
            </w:r>
          </w:p>
        </w:tc>
      </w:tr>
      <w:tr>
        <w:tc>
          <w:tcPr>
            <w:tcW w:type="dxa" w:w="2800"/>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Strand</w:t>
            </w:r>
          </w:p>
        </w:tc>
        <w:tc>
          <w:tcPr>
            <w:tcW w:type="dxa" w:w="65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Term from the Intelligence Manifold for elastic provenance connections. Our Proof tokens are strands.</w:t>
            </w:r>
          </w:p>
        </w:tc>
      </w:tr>
      <w:tr>
        <w:tc>
          <w:tcPr>
            <w:tcW w:type="dxa" w:w="2800"/>
            <w:tcMar>
              <w:top w:type="dxa" w:w="80"/>
              <w:left w:type="dxa" w:w="120"/>
              <w:bottom w:type="dxa" w:w="80"/>
              <w:right w:type="dxa" w:w="120"/>
            </w:tcMar>
          </w:tcPr>
          <w:p>
            <w:pPr>
              <w:spacing w:after="0" w:before="0" w:line="280"/>
            </w:pPr>
            <w:r>
              <w:rPr>
                <w:rFonts w:ascii="Calibri" w:cs="Calibri" w:eastAsia="Calibri" w:hAnsi="Calibri"/>
                <w:b/>
                <w:bCs/>
                <w:color w:val="1F1F1F"/>
                <w:sz w:val="20"/>
                <w:szCs w:val="20"/>
              </w:rPr>
              <w:t xml:space="preserve">The Strand (UI)</w:t>
            </w:r>
          </w:p>
        </w:tc>
        <w:tc>
          <w:tcPr>
            <w:tcW w:type="dxa" w:w="6560"/>
            <w:tcMar>
              <w:top w:type="dxa" w:w="80"/>
              <w:left w:type="dxa" w:w="120"/>
              <w:bottom w:type="dxa" w:w="80"/>
              <w:right w:type="dxa" w:w="120"/>
            </w:tcMar>
          </w:tcPr>
          <w:p>
            <w:pPr>
              <w:spacing w:after="0" w:before="0" w:line="280"/>
            </w:pPr>
            <w:r>
              <w:rPr>
                <w:rFonts w:ascii="Calibri" w:cs="Calibri" w:eastAsia="Calibri" w:hAnsi="Calibri"/>
                <w:b w:val="false"/>
                <w:bCs w:val="false"/>
                <w:color w:val="1F1F1F"/>
                <w:sz w:val="20"/>
                <w:szCs w:val="20"/>
              </w:rPr>
              <w:t xml:space="preserve">The signature UI animation: an SVG path drawing from a Proof badge to its source row.</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1F1F"/>
      <w:sz w:val="44"/>
      <w:szCs w:val="44"/>
    </w:rPr>
  </w:style>
  <w:style w:type="paragraph" w:styleId="Heading2">
    <w:name w:val="Heading 2"/>
    <w:basedOn w:val="Normal"/>
    <w:next w:val="Normal"/>
    <w:qFormat/>
    <w:pPr>
      <w:spacing w:after="180" w:before="360"/>
      <w:outlineLvl w:val="1"/>
    </w:pPr>
    <w:rPr>
      <w:rFonts w:ascii="Calibri" w:cs="Calibri" w:eastAsia="Calibri" w:hAnsi="Calibri"/>
      <w:b/>
      <w:bCs/>
      <w:color w:val="1F1F1F"/>
      <w:sz w:val="32"/>
      <w:szCs w:val="32"/>
    </w:rPr>
  </w:style>
  <w:style w:type="paragraph" w:styleId="Heading3">
    <w:name w:val="Heading 3"/>
    <w:basedOn w:val="Normal"/>
    <w:next w:val="Normal"/>
    <w:qFormat/>
    <w:pPr>
      <w:spacing w:after="140" w:before="280"/>
      <w:outlineLvl w:val="2"/>
    </w:pPr>
    <w:rPr>
      <w:rFonts w:ascii="Calibri" w:cs="Calibri" w:eastAsia="Calibri" w:hAnsi="Calibri"/>
      <w:b/>
      <w:bCs/>
      <w:color w:val="0F6E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2026-04-29T02:34:11.312Z</dcterms:created>
  <dcterms:modified xsi:type="dcterms:W3CDTF">2026-04-29T02:34:11.313Z</dcterms:modified>
</cp:coreProperties>
</file>

<file path=docProps/custom.xml><?xml version="1.0" encoding="utf-8"?>
<Properties xmlns="http://schemas.openxmlformats.org/officeDocument/2006/custom-properties" xmlns:vt="http://schemas.openxmlformats.org/officeDocument/2006/docPropsVTypes"/>
</file>