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rFonts w:ascii="Calibri" w:cs="Calibri" w:eastAsia="Calibri" w:hAnsi="Calibri"/>
          <w:b/>
          <w:bCs/>
          <w:color w:val="1F1F1F"/>
          <w:sz w:val="84"/>
          <w:szCs w:val="84"/>
        </w:rPr>
        <w:t xml:space="preserve">Architecture &amp; Build Spec</w:t>
      </w:r>
    </w:p>
    <w:p>
      <w:pPr>
        <w:spacing w:after="480" w:before="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How the system fits together · v1.0</w:t>
      </w:r>
    </w:p>
    <w:p>
      <w:pPr>
        <w:pBdr>
          <w:bottom w:val="single" w:color="D3D1C7" w:sz="6" w:space="1"/>
        </w:pBdr>
        <w:spacing w:after="200" w:before="200"/>
      </w:pPr>
      <w: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Document version: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1.0</w:t>
      </w:r>
    </w:p>
    <w:p>
      <w:pPr>
        <w:spacing w:after="120" w:before="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F6E56"/>
          <w:sz w:val="22"/>
          <w:szCs w:val="22"/>
        </w:rPr>
        <w:t xml:space="preserve">Approved for execution</w:t>
      </w:r>
    </w:p>
    <w:p>
      <w:pPr>
        <w:spacing w:after="120" w:before="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Owner: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Will Coffey, Pythagorithm AI Governance Solutions</w:t>
      </w:r>
    </w:p>
    <w:p>
      <w:pPr>
        <w:spacing w:after="120" w:before="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Event: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Agency 2026 Hackathon, Ottawa, April 29, 2026</w:t>
      </w:r>
    </w:p>
    <w:p>
      <w:r>
        <w:br w:type="page"/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1 · System overview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system is a single-page Next.js 15 application served from AWS Canada Central, with a synthesis worker queue, a citation-registry index, and read-only access to the GovAlta hackathon Postgres database. Three surfaces (Glass Box, Outcome Brief, Counterfactual Brief) share a common shell, a common Proof token rendering layer, and a common citation discipline.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Architecturally, the system is organized as five strata (per the Intelligence Manifold framing). Each stratum has bounded perception over a slice of the data and computation surface. The strands connecting strata are Pythagorithm Proof tokens carrying provenance from outer-stratum claims to inner-stratum sources.</w:t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2 · Strata mapping (architectural view)</w:t>
      </w:r>
    </w:p>
    <w:tbl>
      <w:tblPr>
        <w:tblW w:type="dxa" w:w="9360"/>
        <w:tblBorders>
          <w:top w:val="single" w:color="D3D1C7" w:sz="6"/>
          <w:left w:val="single" w:color="D3D1C7" w:sz="6"/>
          <w:bottom w:val="single" w:color="D3D1C7" w:sz="6"/>
          <w:right w:val="single" w:color="D3D1C7" w:sz="6"/>
          <w:insideH w:val="single" w:color="D3D1C7" w:sz="4"/>
          <w:insideV w:val="single" w:color="D3D1C7" w:sz="4"/>
        </w:tblBorders>
      </w:tblPr>
      <w:tblGrid>
        <w:gridCol w:w="1000"/>
        <w:gridCol w:w="1800"/>
        <w:gridCol w:w="2200"/>
        <w:gridCol w:w="4360"/>
      </w:tblGrid>
      <w:tr>
        <w:trPr>
          <w:tblHeader/>
        </w:trPr>
        <w:tc>
          <w:tcPr>
            <w:tcW w:type="dxa" w:w="10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Stratum</w:t>
            </w:r>
          </w:p>
        </w:tc>
        <w:tc>
          <w:tcPr>
            <w:tcW w:type="dxa" w:w="18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Density</w:t>
            </w:r>
          </w:p>
        </w:tc>
        <w:tc>
          <w:tcPr>
            <w:tcW w:type="dxa" w:w="22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36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What lives here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S₁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Episodic / task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Next.js shell, Strata Panel, demo state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UI shell, navigation, current-user-action state. Rendered in browser; ephemeral.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S₂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Procedural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Surface components, Strand animation, deployment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How the UI renders, how the Strand animates, how deploys roll out. Reusable, composable.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S₃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Semantic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Synthesis worker, Proof validator, calibrated-language gates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Resolved entities, calibrated language rules, Proof token construction, AG findings indexed.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S₄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Source-linked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Read-only DB access, citation registry, k-NN index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Pre-computed analysis tables (general.golden_records, fed.vw_agreement_current, etc.). Citation registry. Comparable-grants k-NN index.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S₅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Archival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Raw rows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Original T3010, federal grant, AB raw rows. Accessed only via delegated reads through provenance strands.</w:t>
            </w:r>
          </w:p>
        </w:tc>
      </w:tr>
    </w:tbl>
    <w:p>
      <w:pPr>
        <w:spacing w:after="20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/>
      </w:r>
    </w:p>
    <w:tbl>
      <w:tblPr>
        <w:tblW w:type="dxa" w:w="9360"/>
        <w:tblBorders>
          <w:top w:val="single" w:color="0F6E56" w:sz="6"/>
          <w:left w:val="single" w:color="0F6E56" w:sz="6"/>
          <w:bottom w:val="single" w:color="0F6E56" w:sz="6"/>
          <w:right w:val="single" w:color="0F6E5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1F5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 w:line="320"/>
            </w:pPr>
            <w:r>
              <w:rPr>
                <w:rFonts w:ascii="Calibri" w:cs="Calibri" w:eastAsia="Calibri" w:hAnsi="Calibri"/>
                <w:b/>
                <w:bCs/>
                <w:color w:val="0F6E56"/>
                <w:spacing w:val="40"/>
                <w:sz w:val="18"/>
                <w:szCs w:val="18"/>
              </w:rPr>
              <w:t xml:space="preserve">WHY THIS MATTERS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Each component is bounded by what its stratum needs to know. The Next.js shell never sees raw database rows — it only sees what the synthesis worker passes up through the Proof token. The synthesis worker never queries the database directly — it asks the citation-registry layer for sources by entity_id. This separation is what makes the architecture defensible to the AG's office: every claim has a strand, every strand has bounded perception at each junction, and no agent has more visibility than its stratum requires.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3 · Data flow — how a claim travels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canonical data flow shows what happens when a user clicks a finding in the Glass Box and the system produces a fully-cited claim with a working Strand.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3.1 Glass Box click → claim render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Browser issues a request to /api/findings?id={entity_id}. Next.js API route receives.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API route queries the citation_registry for the entity. Citation registry returns { entity_metadata, scoring_components, source_pointers[] }.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API route constructs a Proof token (see §4 for schema). All four tiers populated. Tier 3 calibrated-language validator runs synchronously — if any output text fails the regex sweep, the token records the failure and returns FALLBACK content rather than the violating text.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API route returns { finding, proof_token, source_pointers[] } as JSON.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React component renders. Proof badge color reflects token's all-tiers-passed status. Click handler on badge triggers Strand animation.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Strand animation: SVG path interpolates from badge position to source-row panel. Path color is paper at start, ember at end if any source pointer crosses HIGH-risk threshold.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Source-row panel renders the underlying database row in JetBrains Mono, column-by-column.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3.2 Outcome Brief generation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User requests /brief/outcome/{entity_slug}. Next.js page component checks /cached/{slug}/outcome-brief — if present, serves cached version.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If cold: Next.js streaming SSR begins. API route enqueues synthesis job.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Synthesis worker (PYTH-SYN logic): fetches entity context from citation_registry, fetches up to 5 AG findings, parent program DRR, up to 5 Hansard mentions, up to 5 news articles ranked by authority tier.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Synthesis prompt sent to Claude Opus 4.7 with strict citation schema and calibrated-language constraints (see PYTH-SYN agent file).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PYTH-GOV validator runs: citation completeness, calibrated language regex, Proof token completeness. Reject → bounce back to PYTH-SYN with specific failure reason. Pass → proceed.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Brief renders progressively as content streams (Fraunces headline first, body paragraphs as completed, citations as resolved, Proof token strip last).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3.3 Counterfactual Brief generation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User requests /brief/counterfactual/{grant_id} where the grant has NULL or empty description.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k-NN retrieval over grants_index (program_code, dollar_range_bucket, recipient_type, fiscal_year). Returns top 8-15 grants WITH descriptions.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Citation-registry fetch: parent program DRR (if any), AG findings on parent program (if any).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Synthesis prompt: 'Given these N comparable grants WITH descriptions, summarize what briefs in this category typically state. Use observation framing only. Never prescriptive.' Sent to Claude Opus 4.7.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PYTH-GOV validator runs with stricter prescriptive-language patterns (in addition to standard set): rejects 'should have', 'ought to', 'failed to state', etc. (see calibrated-accountability-language-skill.md).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2"/>
          <w:szCs w:val="22"/>
        </w:rPr>
        <w:t xml:space="preserve">Step 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Brief renders with comparable-grants panel showing the k retrieved siblings.</w:t>
      </w:r>
    </w:p>
    <w:p>
      <w:r>
        <w:br w:type="page"/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4 · The Pythagorithm Proof token (canonical schema)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Proof token is the architectural strand connecting outer-stratum claims to inner-stratum sources. Every output that reaches a user carries a Proof token. Every token validates against this schema. Tokens are immutable once issued and carry a replay seed allowing exact reconstruction.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4.1 JSON schema (paste-ready)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```json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{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"proof_token_version": "v1.0",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"token_id": "prf_&lt;uuid&gt;",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"issued_at": "&lt;ISO 8601 UTC&gt;",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"build_commit": "&lt;git SHA&gt;",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"replay_seed": "&lt;hex-encoded seed&gt;",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"tier_1_input": {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"input_policy_version": "v1.0",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"input_classification": "&lt;class&gt;",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"input_hash": "&lt;sha256&gt;",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"passed": true | false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},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"tier_2_contextual": {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"evidence": [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  {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    "source": "&lt;schema.table | source_url&gt;",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    "row_id": "&lt;id&gt;",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    "value": "&lt;observed value&gt;",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    "retrieved_at": "&lt;ISO 8601&gt;",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    "authority_tier": 1 | 2 | 3 | 4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  }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],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"entity_resolution_confidence": 0.0-1.0,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"passed": true | false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},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"tier_3_output": {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"calibrated_language_gate": { "passed": bool, "flagged_phrases": [] },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"citation_completeness_gate": { "passed": bool, "missing_citations": [] },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"entity_confidence_gate": { "passed": bool, "threshold": 0.92, "observed": 0.95 },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"all_gates_passed": bool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},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"tier_4_audit": {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"output_hash": "&lt;sha256&gt;",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"issuer_agent": "PYTH-GOV",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"validated_at": "&lt;ISO 8601&gt;",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"telemetry": { "latency_ms": 0, "llm_model": "claude-opus-4-7", "prompt_version": "v1.0" }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}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}</w:t>
      </w:r>
    </w:p>
    <w:p>
      <w:pPr>
        <w:spacing w:after="20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```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4.2 Visual rendering rules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Proof badge color: sage (#6B8E7F) if all_gates_passed = true; ember (#E8693C) otherwise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Tier strip across bottom of Briefs: four pills, one per tier, colored by per-tier passed status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Proof Drawer is a slide-up panel on Glass Box; full-page modal on Brief surfaces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Token JSON viewable via 'view raw token' link in Proof Drawer (for the curious / suspicious)</w:t>
      </w:r>
    </w:p>
    <w:p>
      <w:r>
        <w:br w:type="page"/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5 · Database access patterns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5.1 Connection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Connection string lives in AWS Parameter Store at /agency2026/db-url (or equivalent if AWS-provided instance uses different credential injection). All queries are read-only against the hosted hackathon DB. Local Postgres failover uses an identical schema imported via .local-db/import.js.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5.2 Mandatory views (R3 enforcement)</w:t>
      </w:r>
    </w:p>
    <w:tbl>
      <w:tblPr>
        <w:tblW w:type="dxa" w:w="9360"/>
        <w:tblBorders>
          <w:top w:val="single" w:color="D3D1C7" w:sz="6"/>
          <w:left w:val="single" w:color="D3D1C7" w:sz="6"/>
          <w:bottom w:val="single" w:color="D3D1C7" w:sz="6"/>
          <w:right w:val="single" w:color="D3D1C7" w:sz="6"/>
          <w:insideH w:val="single" w:color="D3D1C7" w:sz="4"/>
          <w:insideV w:val="single" w:color="D3D1C7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Use this</w:t>
            </w:r>
          </w:p>
        </w:tc>
        <w:tc>
          <w:tcPr>
            <w:tcW w:type="dxa" w:w="616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Not this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fed.vw_agreement_current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Raw fed.agreements.agreement_value (cumulative, not delta — KNOWN-DATA-ISSUES F-3)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general.golden_records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Re-running entity resolution from raw rows — Splink + LLM verdict already done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general.entity_loops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Recomputing loop detection — 5,808 loops already scored 0-23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cra.t3010_violations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Re-flagging violations — 54,010 arithmetic + 1,075 plausibility already done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ab.* with documented dedupe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Raw AB rows including A-13 reversal pairs and A-10 roll-up rows (~$25B inflated)</w:t>
            </w:r>
          </w:p>
        </w:tc>
      </w:tr>
    </w:tbl>
    <w:p>
      <w:pPr>
        <w:spacing w:after="20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/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5.3 Year alignment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All fiscal years are April 1 – March 31, labeled by end year. FY2024 = April 1, 2023 to March 31, 2024. Cross-dataset joins must align on this convention or numbers will be silently wrong. The agency2026-data-skill encodes the canonical join patterns.</w:t>
      </w:r>
    </w:p>
    <w:p>
      <w:r>
        <w:br w:type="page"/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6 · Deployment architecture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6.1 Default topology (hackathon-provided AWS account)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ALB (HTTPS, ACM cert) → ECS Fargate task (single Next.js container) in private subnet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ECS task talks to: Render Postgres (TLS), Bedrock in ca-central-1 (HTTPS), Anthropic API direct as failover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S3 bucket for /cached/ static fallback content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Parameter Store for secrets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CloudWatch for logs (text only, no APM)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Strands Agents SDK used as a Python library inside PYTH-RES and PYTH-DB; not as runtime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6.2 What we explicitly do not use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Bedrock AgentCore — managed agent runtime would replace our Claude Code orchestration. We keep orchestration in our own code so the calibrated-language gates and Proof token construction stay visible and defensible.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Amazon Nova — we use Claude for all model calls to maintain consistency with the calibrated-language patterns we tested.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Kiro at runtime — Kiro is a pre-event tool only (writing canonical SQL last night). Day-of, agents read from /sql/canonical/.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Microsoft Azure / GitHub Copilot tooling — fine for development assistance during the day if needed, but not in the production stack.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Google Vertex AI / BigQuery / Gemini — provided by hosts but not used; we standardize on AWS infrastructure for the demo.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6.3 Topology if AWS account has surprises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If Bedrock is not available in ca-central-1 in the provided account, fall back to us-east-1 for LLM calls only. Document in decisions.md. Data still stays in ca-central-1; only model inference goes to us-east-1. This does not break the data residency story.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If the provided account has unexpected restrictions (no ECR, no ALB, etc.), adapt to whatever is provided, preserving the non-negotiables: ca-central-1, HTTPS, secrets via Parameter Store/IAM/launch-template (never committed code), rollback rehearsed, local Postgres failover working, log visibility.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6.4 Failover decision tree (implementation level)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Each branch has a one-command implementation. PYTH-OPS pre-rehearses all of them at 14:00.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```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Render DB unreachable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→ ENV swap: DATABASE_URL=postgres://localhost:5432/agency26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→ Restart ECS task with new env (or local restart)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Bedrock 5xx or rate-limited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→ ENV swap: BEDROCK_REGION=us-east-1 (try alternate region)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→ If still failing: LLM_PROVIDER=anthropic_direct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→ Restart synthesis worker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Both LLMs down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→ Serve from /cached/ (static, no LLM calls)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Whole region issue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→ localhost:3000 on Will's laptop, screen-cast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```</w:t>
      </w:r>
    </w:p>
    <w:p>
      <w:r>
        <w:br w:type="page"/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7 · Citation registry schema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citation registry is the single source of truth for every external claim the system can make. PYTH-RES populates it; PYTH-SYN reads it; PYTH-GOV validates against it.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```sql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CREATE TABLE citation_registry (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citation_id UUID PRIMARY KEY,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source_type TEXT NOT NULL,         -- 'ag_report' | 'drr' | 'hansard' | 'news' | 'db_row'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source_url TEXT NOT NULL,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source_title TEXT NOT NULL,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source_date DATE,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excerpt TEXT NOT NULL,             -- ≤15 words if direct quote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is_direct_quote BOOLEAN NOT NULL,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page_number INT,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entities_mentioned TEXT[],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retrieved_at TIMESTAMPTZ NOT NULL,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authority_tier INT NOT NULL,       -- 1=AG, 2=DRR/Hansard, 3=major news, 4=other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CONSTRAINT excerpt_word_limit CHECK (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  NOT is_direct_quote OR array_length(string_to_array(excerpt, ' '), 1) &lt;= 15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 )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);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CREATE INDEX idx_citation_entities ON citation_registry USING gin(entities_mentioned);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CREATE INDEX idx_citation_authority ON citation_registry(authority_tier, source_date DESC);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```</w:t>
      </w:r>
    </w:p>
    <w:p>
      <w:r>
        <w:br w:type="page"/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8 · Counterfactual Brief k-NN index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For Counterfactual Brief retrieval, we build an index over the ~1.2M federal grants WITH descriptions. The index is keyed on (program_code, dollar_range_bucket, recipient_type, fiscal_year) and supports approximate nearest-neighbor lookup.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8.1 Bucketing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dollar_range_bucket: log-scale bins — $1M-2M, $2M-5M, $5M-10M, $10M-25M, $25M-50M, $50M-100M, $100M+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recipient_type: enum (charity, for-profit, university, hospital, indigenous-org, other-non-profit, other)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fiscal_year: ±2 years from target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program_code: exact match preferred; if no exact match, fall back to parent department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8.2 Retrieval logic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Tier 1 match: exact (program_code, dollar_range_bucket, recipient_type, fiscal_year ±2) — typically 8-15 results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Tier 2 match: relax fiscal_year to ±5 — fallback if Tier 1 yields &lt; 5 results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Tier 3 match: relax to parent department + dollar bucket — fallback if Tier 2 yields &lt; 5 results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If Tier 3 yields &lt; 3 results: surface returns 'insufficient comparable data' rather than synthesizing from too-thin a sample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8.3 Index implementation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Postgres indexes on the bucket columns are sufficient for a one-day build. No separate vector store is needed — the dimensionality is low (4 dims) and the corpus fits in memory. If query latency exceeds 500ms, materialize as a denormalized table with composite index.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1F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1F1F1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Calibri" w:cs="Calibri" w:eastAsia="Calibri" w:hAnsi="Calibri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2026-04-29T02:34:11.577Z</dcterms:created>
  <dcterms:modified xsi:type="dcterms:W3CDTF">2026-04-29T02:34:11.577Z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