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rFonts w:ascii="Calibri" w:cs="Calibri" w:eastAsia="Calibri" w:hAnsi="Calibri"/>
          <w:b/>
          <w:bCs/>
          <w:color w:val="1F1F1F"/>
          <w:sz w:val="84"/>
          <w:szCs w:val="84"/>
        </w:rPr>
        <w:t xml:space="preserve">Test &amp; Validation Plan</w:t>
      </w:r>
    </w:p>
    <w:p>
      <w:pPr>
        <w:spacing w:after="480" w:before="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How we know it's done · v1.0</w:t>
      </w:r>
    </w:p>
    <w:p>
      <w:pPr>
        <w:pBdr>
          <w:bottom w:val="single" w:color="D3D1C7" w:sz="6" w:space="1"/>
        </w:pBdr>
        <w:spacing w:after="200" w:before="200"/>
      </w:pPr>
      <w: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Document version: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1.0</w:t>
      </w:r>
    </w:p>
    <w:p>
      <w:pPr>
        <w:spacing w:after="120" w:before="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F6E56"/>
          <w:sz w:val="22"/>
          <w:szCs w:val="22"/>
        </w:rPr>
        <w:t xml:space="preserve">Approved for execution</w:t>
      </w:r>
    </w:p>
    <w:p>
      <w:pPr>
        <w:spacing w:after="120" w:before="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Owner: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Will Coffey, Pythagorithm AI Governance Solutions</w:t>
      </w:r>
    </w:p>
    <w:p>
      <w:pPr>
        <w:spacing w:after="120" w:before="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Event: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Agency 2026 Hackathon, Ottawa, April 29, 2026</w:t>
      </w:r>
    </w:p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1 · Purpose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This plan defines what 'tested' means for the Agency 2026 build. It covers four categories: calibration tests (does PYTH-GOV catch what it should), functional tests (do the surfaces work), integration tests (do the pieces fit together), and rehearsal tests (does the demo land).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Tests run continuously through the day. Failures at any phase trigger PYTH-LEAD escalation. The 16:00 dress rehearsal is the final integration test before the demo.</w:t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2 · Calibration test cases (PYTH-GOV)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These tests validate that the calibrated-language validator catches violations correctly. Run before 11:00 and again at 14:00 to confirm no regressions.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2.1 Must-reject cases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These inputs MUST be rejected by PYTH-GOV. Any one of them passing through is a calibration leak.</w:t>
      </w:r>
    </w:p>
    <w:tbl>
      <w:tblPr>
        <w:tblW w:type="dxa" w:w="9360"/>
        <w:tblBorders>
          <w:top w:val="single" w:color="D3D1C7" w:sz="6"/>
          <w:left w:val="single" w:color="D3D1C7" w:sz="6"/>
          <w:bottom w:val="single" w:color="D3D1C7" w:sz="6"/>
          <w:right w:val="single" w:color="D3D1C7" w:sz="6"/>
          <w:insideH w:val="single" w:color="D3D1C7" w:sz="4"/>
          <w:insideV w:val="single" w:color="D3D1C7" w:sz="4"/>
        </w:tblBorders>
      </w:tblPr>
      <w:tblGrid>
        <w:gridCol w:w="1400"/>
        <w:gridCol w:w="4960"/>
        <w:gridCol w:w="3000"/>
      </w:tblGrid>
      <w:tr>
        <w:trPr>
          <w:tblHeader/>
        </w:trPr>
        <w:tc>
          <w:tcPr>
            <w:tcW w:type="dxa" w:w="1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Test ID</w:t>
            </w:r>
          </w:p>
        </w:tc>
        <w:tc>
          <w:tcPr>
            <w:tcW w:type="dxa" w:w="496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Why reject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CAL-R-1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"The government failed to oversee SDTC's spending."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Forbidden absolute: 'failed to'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CAL-R-2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"Investigators found evidence of fraud at the organization."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Forbidden absolute: 'fraud', 'evidence of'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CAL-R-3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"This grant should have stated its objectives clearly."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Forbidden prescriptive: 'should have'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CAL-R-4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"Officials deliberately concealed the contract amendments."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Forbidden absolute: 'deliberately'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CAL-R-5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"In exchange for the donation, the company received a $10M grant."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Forbidden causal: 'in exchange for'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CAL-R-6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"The lobbying clearly led to the grant approval."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Forbidden causal: 'clearly led to'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CAL-R-7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"This was a coverup of the original mismanagement."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Forbidden absolute: 'coverup'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CAL-R-8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Direct quote ≥ 16 words from any source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FR-OB-4 violation: max 15 words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CAL-R-9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Two direct quotes from the same source in one Brief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FR-OB-4 violation: one quote per source max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CAL-R-10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Claim about a named individual with entity-resolution confidence &lt; 0.95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FR-OB-4 entity-confidence threshold</w:t>
            </w:r>
          </w:p>
        </w:tc>
      </w:tr>
    </w:tbl>
    <w:p>
      <w:pPr>
        <w:spacing w:after="20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/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2.2 Must-accept cases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These inputs MUST be accepted by PYTH-GOV. Any one of them being rejected is a false-positive that would block legitimate output.</w:t>
      </w:r>
    </w:p>
    <w:tbl>
      <w:tblPr>
        <w:tblW w:type="dxa" w:w="9360"/>
        <w:tblBorders>
          <w:top w:val="single" w:color="D3D1C7" w:sz="6"/>
          <w:left w:val="single" w:color="D3D1C7" w:sz="6"/>
          <w:bottom w:val="single" w:color="D3D1C7" w:sz="6"/>
          <w:right w:val="single" w:color="D3D1C7" w:sz="6"/>
          <w:insideH w:val="single" w:color="D3D1C7" w:sz="4"/>
          <w:insideV w:val="single" w:color="D3D1C7" w:sz="4"/>
        </w:tblBorders>
      </w:tblPr>
      <w:tblGrid>
        <w:gridCol w:w="1400"/>
        <w:gridCol w:w="4960"/>
        <w:gridCol w:w="3000"/>
      </w:tblGrid>
      <w:tr>
        <w:trPr>
          <w:tblHeader/>
        </w:trPr>
        <w:tc>
          <w:tcPr>
            <w:tcW w:type="dxa" w:w="1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Test ID</w:t>
            </w:r>
          </w:p>
        </w:tc>
        <w:tc>
          <w:tcPr>
            <w:tcW w:type="dxa" w:w="496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Why accept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CAL-A-1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"The dataset shows 19 amendments increasing contract value by more than 2x."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Calibrated: observation, no causation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CAL-A-2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"Pattern consistent with sole-source amendment growth."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Calibrated: 'pattern consistent with'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CAL-A-3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"Risk score: HIGH (12 of 23 indicators triggered)."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Calibrated: scored with denominator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CAL-A-4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"Briefs in this category typically state objectives X, Y, and Z."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Counterfactual observation framing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CAL-A-5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"The Auditor General's June 2024 report states findings on file."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Citation-grounded, no overclaim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CAL-A-6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"Lobbying registration filed 47 days before grant award."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Temporal observation, no causation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CAL-A-7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Direct quote of exactly 15 words from one AG report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At limit but compliant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CAL-A-8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Claim about WE Charity Foundation (publicly named, in Glubish list)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Public entity, exemption applies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3 · Functional test cases (per surface)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3.1 Glass Box</w:t>
      </w:r>
    </w:p>
    <w:tbl>
      <w:tblPr>
        <w:tblW w:type="dxa" w:w="9360"/>
        <w:tblBorders>
          <w:top w:val="single" w:color="D3D1C7" w:sz="6"/>
          <w:left w:val="single" w:color="D3D1C7" w:sz="6"/>
          <w:bottom w:val="single" w:color="D3D1C7" w:sz="6"/>
          <w:right w:val="single" w:color="D3D1C7" w:sz="6"/>
          <w:insideH w:val="single" w:color="D3D1C7" w:sz="4"/>
          <w:insideV w:val="single" w:color="D3D1C7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Test ID</w:t>
            </w:r>
          </w:p>
        </w:tc>
        <w:tc>
          <w:tcPr>
            <w:tcW w:type="dxa" w:w="796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FT-GB-1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Page loads at /glass-box, shows feed of ≥ 50 entities sorted by risk score descending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FT-GB-2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Each finding card shows entity name, score with denominator, summary, and Proof badge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FT-GB-3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Sort by score asc / desc / type / recency works; URL state persists sort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FT-GB-4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Filter by risk tier reduces visible entities; multiple filters compose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FT-GB-5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Search box matches entity name, postal code, BN, program code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FT-GB-6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Click a finding → Proof Drawer opens with all four tier outputs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FT-GB-7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Click Proof badge → Strand SVG path animates from badge to source-row panel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FT-GB-8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Strand path color shifts to ember if any source crosses HIGH-risk threshold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FT-GB-9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Source-row panel displays underlying database row in JetBrains Mono, column-by-column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FT-GB-10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All 10 known cases (WE Charity, SDTC, Canada World Youth, Halagonia, TMT, Carisbrooke, plus 4 chosen) render correctly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FT-GB-11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AIA Register panel renders 10 federal Algorithmic Impact Assessments with impact-level chips, system names, departments, and mitigation indicators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FT-GB-12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Prewarm cache hit: each of the 10 seed entities responds from cache/seed-entities.json in &lt;50ms with no network call (verified via DevTools Network tab)</w:t>
            </w:r>
          </w:p>
        </w:tc>
      </w:tr>
    </w:tbl>
    <w:p>
      <w:pPr>
        <w:spacing w:after="20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/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3.2 Outcome Brief</w:t>
      </w:r>
    </w:p>
    <w:tbl>
      <w:tblPr>
        <w:tblW w:type="dxa" w:w="9360"/>
        <w:tblBorders>
          <w:top w:val="single" w:color="D3D1C7" w:sz="6"/>
          <w:left w:val="single" w:color="D3D1C7" w:sz="6"/>
          <w:bottom w:val="single" w:color="D3D1C7" w:sz="6"/>
          <w:right w:val="single" w:color="D3D1C7" w:sz="6"/>
          <w:insideH w:val="single" w:color="D3D1C7" w:sz="4"/>
          <w:insideV w:val="single" w:color="D3D1C7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Test ID</w:t>
            </w:r>
          </w:p>
        </w:tc>
        <w:tc>
          <w:tcPr>
            <w:tcW w:type="dxa" w:w="796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FT-OB-1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Brief renders for each of 6 Glubish-named entities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FT-OB-2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Each Brief has: Fraunces headline, pull quote, 3-5 body paragraphs, inline data viz, marginal citations, Proof token strip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FT-OB-3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Every claim sentence has at least one citation pointer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FT-OB-4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No direct quote exceeds 15 words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FT-OB-5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Maximum one direct quote per source per Brief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FT-OB-6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Brief renders progressively via streaming SSR (headline first, body as completed)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FT-OB-7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Cached Brief (10 known cases) loads in &lt; 8 seconds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FT-OB-8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Cold Brief (new entity) generates and renders in &lt; 25 seconds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FT-OB-9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Print preview at A4 produces clean output (no UI chrome bleed-through, citations align with body)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FT-OB-10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If no high-authority sources exist, Brief returns structured 'insufficient evidence' page rather than fabricating</w:t>
            </w:r>
          </w:p>
        </w:tc>
      </w:tr>
    </w:tbl>
    <w:p>
      <w:pPr>
        <w:spacing w:after="20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/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3.3 Counterfactual Brief</w:t>
      </w:r>
    </w:p>
    <w:tbl>
      <w:tblPr>
        <w:tblW w:type="dxa" w:w="9360"/>
        <w:tblBorders>
          <w:top w:val="single" w:color="D3D1C7" w:sz="6"/>
          <w:left w:val="single" w:color="D3D1C7" w:sz="6"/>
          <w:bottom w:val="single" w:color="D3D1C7" w:sz="6"/>
          <w:right w:val="single" w:color="D3D1C7" w:sz="6"/>
          <w:insideH w:val="single" w:color="D3D1C7" w:sz="4"/>
          <w:insideV w:val="single" w:color="D3D1C7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Test ID</w:t>
            </w:r>
          </w:p>
        </w:tc>
        <w:tc>
          <w:tcPr>
            <w:tcW w:type="dxa" w:w="796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FT-CF-1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Brief renders for 3 grants with NULL descriptions in distinct programs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FT-CF-2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Each Brief shows comparable-grants panel with 8-15 retrieved siblings, each with its actual description excerpted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FT-CF-3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Synthesis uses observation framing only ('Briefs typically state...', never 'should have stated...')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FT-CF-4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Parent program DRR is surfaced if available, with citation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FT-CF-5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AG findings on parent program are surfaced if available, with ≤15-word direct citation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FT-CF-6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PYTH-GOV blocks any prescriptive-language attempt (deliberate test inputs in §2.1)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FT-CF-7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Cached Counterfactual (3 pre-rendered) loads in &lt; 10 seconds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FT-CF-8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Cold Counterfactual (new grant) generates and renders in &lt; 30 seconds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FT-CF-9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If k-NN retrieval yields &lt; 3 comparable grants, surface returns 'insufficient comparable data'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FT-CF-10</w:t>
            </w:r>
          </w:p>
        </w:tc>
        <w:tc>
          <w:tcPr>
            <w:tcW w:type="dxa" w:w="7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Tier-fallback works: if Tier 1 (exact match) yields &lt; 5, falls back to Tier 2 (relaxed FY); if Tier 2 yields &lt; 5, Tier 3 (parent dept)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4 · Integration tests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Integration tests verify that the surfaces compose correctly and that data flows end-to-end across stratum boundaries.</w:t>
      </w:r>
    </w:p>
    <w:tbl>
      <w:tblPr>
        <w:tblW w:type="dxa" w:w="9360"/>
        <w:tblBorders>
          <w:top w:val="single" w:color="D3D1C7" w:sz="6"/>
          <w:left w:val="single" w:color="D3D1C7" w:sz="6"/>
          <w:bottom w:val="single" w:color="D3D1C7" w:sz="6"/>
          <w:right w:val="single" w:color="D3D1C7" w:sz="6"/>
          <w:insideH w:val="single" w:color="D3D1C7" w:sz="4"/>
          <w:insideV w:val="single" w:color="D3D1C7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Test ID</w:t>
            </w:r>
          </w:p>
        </w:tc>
        <w:tc>
          <w:tcPr>
            <w:tcW w:type="dxa" w:w="816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INT-1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User journey: Glass Box → click finding → open Proof Drawer → click Strand → see source row → click 'View Outcome Brief' → land on Brief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INT-2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User journey: Citizen Lookup (if shipped) → type postal code → see findings → click one → land on Glass Box scoped to that finding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INT-3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Strata Panel reflects active agent: when synthesis runs, Strata Panel shows S₃ active; when DB query runs, S₄ active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INT-4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Proof token from Outcome Brief and Counterfactual Brief render identically in their Proof token strips (consistency)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INT-5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Calibration leak in synthesis input → PYTH-GOV rejects → fallback content rendered → user sees calibrated message, not error page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INT-6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DB connection drops mid-Brief generation → system falls back to /cached/ version of that entity if available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INT-7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LLM rate limit → system fails over to Bedrock → Brief still renders within latency target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INT-8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Both LLMs down → cached Briefs serve; UI shows 'cached' indicator subtly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INT-9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Decisions log writes successfully on every PYTH-GOV rejection; readable for audit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INT-10</w:t>
            </w:r>
          </w:p>
        </w:tc>
        <w:tc>
          <w:tcPr>
            <w:tcW w:type="dxa" w:w="8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Demo URL accessible from Will's phone hotspot, his laptop on conference WiFi, and an external network simultaneously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5 · Failover rehearsal protocol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PYTH-OPS rehearses each failover scenario at 14:00, before dress rehearsal. Each rehearsal must complete recovery in &lt; 30 seconds.</w:t>
      </w:r>
    </w:p>
    <w:tbl>
      <w:tblPr>
        <w:tblW w:type="dxa" w:w="9360"/>
        <w:tblBorders>
          <w:top w:val="single" w:color="D3D1C7" w:sz="6"/>
          <w:left w:val="single" w:color="D3D1C7" w:sz="6"/>
          <w:bottom w:val="single" w:color="D3D1C7" w:sz="6"/>
          <w:right w:val="single" w:color="D3D1C7" w:sz="6"/>
          <w:insideH w:val="single" w:color="D3D1C7" w:sz="4"/>
          <w:insideV w:val="single" w:color="D3D1C7" w:sz="4"/>
        </w:tblBorders>
      </w:tblPr>
      <w:tblGrid>
        <w:gridCol w:w="1000"/>
        <w:gridCol w:w="2400"/>
        <w:gridCol w:w="4960"/>
        <w:gridCol w:w="1000"/>
      </w:tblGrid>
      <w:tr>
        <w:trPr>
          <w:tblHeader/>
        </w:trPr>
        <w:tc>
          <w:tcPr>
            <w:tcW w:type="dxa" w:w="10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Failure</w:t>
            </w:r>
          </w:p>
        </w:tc>
        <w:tc>
          <w:tcPr>
            <w:tcW w:type="dxa" w:w="496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Recovery</w:t>
            </w:r>
          </w:p>
        </w:tc>
        <w:tc>
          <w:tcPr>
            <w:tcW w:type="dxa" w:w="10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FO-1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Render Postgres unreachable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Switch DATABASE_URL to localhost; restart task; verify reads work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&lt; 30s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FO-2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Bedrock rate-limited or unavailable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Try BEDROCK_REGION=us-east-1; if still failing, LLM_PROVIDER=anthropic_direct; restart synthesis worker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&lt; 30s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FO-3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Both LLMs unreachable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Rely on /cached/ pages only; verify all 30 cached pages serve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&lt; 10s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FO-4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Frontend deploy fails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Roll back ECS task to previous revision (one command)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&lt; 30s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FO-5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ALB cert/DNS issue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Switch to raw *.elb.amazonaws.com URL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&lt; 60s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FO-6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Whole AWS region degraded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Open localhost:3000 on Will's laptop; screen-cast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&lt; 90s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FO-7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Catastrophic (laptop dies)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Play pre-recorded screen capture from Will's phone; narrate verbally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8"/>
                <w:szCs w:val="18"/>
              </w:rPr>
              <w:t xml:space="preserve">&lt; 30s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6 · Dress rehearsal protocol (15:30–16:30)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6.1 Pass 1 — Solo run (15:30)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Will runs the full demo alone, narrating each click. PYTH-DEMO observes. Goal: validate the click flow and identify hesitations.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Observation criteria: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Where does Will hesitate? Where does he speak too long? Where does the system feel slow?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Pass condition: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All three surfaces demoed without errors; pitch delivered within 90-105 seconds.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Fail action: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If pass fails, fix only the specific issues identified. No new features. Then re-run.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6.2 Pass 2 — Adversarial run (15:50)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PYTH-LEAD plays a skeptical Solomon staffer. Asks the hard questions. Will responds. Goal: stress-test the Q&amp;A and identify gaps.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Question prompts (PYTH-LEAD selects 3 of these): 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"How does this not just become another opaque AI black box at scale?"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"Are you trying to embarrass the federal government?"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"What's the difference between this and what Glubish showed this morning?"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"Where does the AI get the information for the Counterfactual Brief? How does it know what should have been said?"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"What happens if the AI is wrong about an entity?"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"Is this a Pythagorithm sales pitch?"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Pass condition: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Will answers each question within 30 seconds, with calibrated language, without breaking the don't-pitch rule.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6.3 Pass 3 — Silent run (16:10)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Will gives the 90-second pitch and then says nothing for 3 minutes. The demo has to land without narration. Goal: validate that the UI does the explaining.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Observation criteria: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Does the silence feel uncomfortable? If yes, the UI isn't doing its job.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Pass condition: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PYTH-LEAD (playing silent observer) reaches the Counterfactual Brief without verbal guidance.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Fail action: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If pass fails, identify the navigation gap. Add a single tooltip or layout adjustment. Do NOT add narration to compensate.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6.4 Verbal fallback rehearsal (16:25)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Will rehearses the SDTC verbal fallback once aloud, end-to-end, without the screen. PYTH-DEMO listens and times it.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Fallback target duration: 90-120 seconds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Pass condition: Will delivers the full architecture explanation using the canonical phrasing without consulting notes</w:t>
      </w:r>
    </w:p>
    <w:p>
      <w:r>
        <w:br w:type="page"/>
      </w:r>
    </w:p>
    <w:p>
      <w:pPr>
        <w:pStyle w:val="Heading1"/>
        <w:spacing w:after="240" w:before="480" w:line="32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7 · Definition-of-done checklist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By 16:30 EDT, every item on this checklist is checked. If any item is unchecked, PYTH-LEAD decides whether to ship without it or delay the demo (the latter is not actually an option — the audience expects 16:30).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7.1 Glass Box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≥ 50 entities render with risk scores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Sort + filter + search work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All 10 known cases render correctly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Proof Drawer opens for every finding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Strand animation works on first click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Source-row panel displays underlying row data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AIA Register panel renders 10 federal AIAs with impact chips and mitigation indicators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Prewarm cache verified: 10 seed entities respond &lt;50ms from cache/seed-entities.json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7.2 Outcome Brief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6 Glubish-named entities have working Briefs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Every claim cited; no orphaned text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No quote &gt; 15 words; max one quote per source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Print preview is publication-quality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Cached Briefs load &lt; 8s; cold Briefs &lt; 25s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7.3 Counterfactual Brief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3 grants with NULL descriptions render Briefs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Comparable-grants panel shows 8-15 siblings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Synthesis uses observation framing only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PYTH-GOV blocks all prescriptive-language test inputs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Cached &lt; 10s; cold &lt; 30s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7.4 Cross-cutting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All three surfaces from one URL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Editorial dark mode applied consistently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All custom typography loaded (General Sans, Fraunces, JetBrains Mono)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No console errors, no broken images, no Lorem Ipsum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PYTH-GOV has rejected ≥ 3 inputs during the day (proof of operation)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All 7 failover scenarios rehearsed at least once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30 cached pages live at /cached/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decisions.md log written and readable</w:t>
      </w:r>
    </w:p>
    <w:p>
      <w:pPr>
        <w:pStyle w:val="Heading2"/>
        <w:spacing w:after="180" w:before="360" w:line="320"/>
      </w:pPr>
      <w:r>
        <w:rPr>
          <w:rFonts w:ascii="Calibri" w:cs="Calibri" w:eastAsia="Calibri" w:hAnsi="Calibri"/>
          <w:b/>
          <w:bCs/>
          <w:color w:val="1F1F1F"/>
          <w:sz w:val="32"/>
          <w:szCs w:val="32"/>
        </w:rPr>
        <w:t xml:space="preserve">7.5 Demo readiness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Will has rehearsed 90-second pitch three times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Three full rehearsal passes complete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Verbal SDTC fallback rehearsed once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Walk-around list printed and in pocket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Cards in pocket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Phone has cached Proof token JSONs accessible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Backup laptop in bag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 ] Charging cables, ethernet adapter, HDMI adapter packed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1F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F1F1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Calibri" w:cs="Calibri" w:eastAsia="Calibri" w:hAnsi="Calibri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2026-04-29T02:34:11.777Z</dcterms:created>
  <dcterms:modified xsi:type="dcterms:W3CDTF">2026-04-29T02:34:11.777Z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