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UNCLASSIFIED — SYNTHETIC. FOR EXERCISE AND DEMONSTRATION USE ONLY. NOT A REAL PLAN.</w:t>
      </w:r>
    </w:p>
    <w:p>
      <w:r>
        <w:t xml:space="preserve">HEADQUARTERS, UNITED STATES EUROPEAN COMMAND</w:t>
      </w:r>
    </w:p>
    <w:p>
      <w:r>
        <w:t xml:space="preserve">OPERATION ORDER 26-004 — OPERATION AMBER SHIELD</w:t>
      </w:r>
    </w:p>
    <w:p>
      <w:r>
        <w:t xml:space="preserve">References: SACEUR OPLAN 2026-BAL and ACTORD (07 SEP 2026); CJCS EXORD (081900Z SEP 2026); NAC Decision Sheet, Article 5 Invocation (06 SEP 2026); 2022 National Defense Strategy; 2022 National Military Strategy; JSCP (CJCSI 3110.01); ATP 7-100.1 Russian Tactics (2024).</w:t>
      </w:r>
    </w:p>
    <w:p>
      <w:r>
        <w:t xml:space="preserve">Time Zone Used Throughout the Order: ZULU.</w:t>
      </w:r>
    </w:p>
    <w:p>
      <w:r>
        <w:t xml:space="preserve">1. Situation. On 05 SEP 2026 Russian 6th Combined Arms Army elements seized the Narva crossings and Ida-Viru County; 76th Guards Air Assault Division and Spetsnaz elements hold blocking positions in eastern Latgale. 11th Army Corps in Kaliningrad and Belarus-based forces threaten the Suwalki corridor but have not crossed. Iskander-M readiness has been announced and the Northern Fleet has surged ballistic missile submarines. The North Atlantic Council invoked Article 5 on 06 SEP 2026. C-Day is 10 SEP 2026; D-Day on order, notionally C+30. Autumn weather degrades aviation and intelligence, surveillance and reconnaissance; bogs canalize armor onto roads.</w:t>
      </w:r>
    </w:p>
    <w:p>
      <w:r>
        <w:t xml:space="preserve">2. Mission. United States European Command, as the supported combatant command, on order and not later than C-Day (10 SEP 2026), deploys, receives and employs designated United States ground, air, maritime and special operations forces in the Baltic Region under NATO command; defends Allied territory, airspace and sea lines of communication; and, on order (D-Day), conducts and enables Alliance counteroffensive operations to expel Russian forces from Estonia and Latvia, while maintaining strategic deterrence across the remainder of the European Command area of responsibility and managing escalation, in order to restore the territorial integrity of Estonia and Latvia, preserve the credibility of NATO Article 5 and deter further Russian aggression against the Alliance.</w:t>
      </w:r>
    </w:p>
    <w:p>
      <w:r>
        <w:t xml:space="preserve">3. Execution.</w:t>
      </w:r>
    </w:p>
    <w:p>
      <w:r>
        <w:t xml:space="preserve">Commander's Intent. This operation exists to prove that Article 5 is a fact and not a slogan. The United States will fight forward with Allies to restore Estonia and Latvia to their governments, deny Russia a frozen conflict on NATO soil, and do so without allowing Moscow to convert a limited incursion into a general war or a nuclear crisis. Speed of reinforcement, Allied cohesion and escalation discipline are the decisive factors.</w:t>
      </w:r>
    </w:p>
    <w:p>
      <w:r>
        <w:t xml:space="preserve">Key Tasks. Close the force under NATO command; defend the Suwalki corridor; open and hold Baltic sea and air lines of communication; degrade the reconnaissance-strike complex; set conditions for the Alliance counteroffensive; sustain strategic deterrence and escalation management throughout.</w:t>
      </w:r>
    </w:p>
    <w:p>
      <w:r>
        <w:t xml:space="preserve">End State. Russian forces are expelled from Estonia and Latvia and Allied forces control the international border; the Suwalki corridor, Baltic sea ports of debarkation and the Danish Straits are open; Allied air and maritime superiority over the Baltic Region is established; a sustainable Allied forward defense is in place at brigade-plus strength in each Baltic State; escalation has been contained below the nuclear threshold; and Russia has been denied both a territorial gain and a narrative of Alliance disunity.</w:t>
      </w:r>
    </w:p>
    <w:p>
      <w:r>
        <w:t xml:space="preserve">Phase I Deter and Reinforce (Now to C+21). Flow the force, establish command and control under NATO, and harden critical nodes.</w:t>
      </w:r>
    </w:p>
    <w:p>
      <w:r>
        <w:t xml:space="preserve">Phase II Defend and Shape (C+21 to D-Day, notionally C+30). Defend Allied territory, shape the deep fight and set conditions for the counteroffensive.</w:t>
      </w:r>
    </w:p>
    <w:p>
      <w:r>
        <w:t xml:space="preserve">Phase III Restore (D-Day to D+30). Conduct and enable Alliance counteroffensive operations to restore the international border.</w:t>
      </w:r>
    </w:p>
    <w:p>
      <w:r>
        <w:t xml:space="preserve">Phase IV Stabilize and Transition (D+30 onward). Consolidate a sustainable forward defense and transition to Alliance steady-state posture.</w:t>
      </w:r>
    </w:p>
    <w:p>
      <w:r>
        <w:t xml:space="preserve">Assumptions.</w:t>
      </w:r>
    </w:p>
    <w:p>
      <w:r>
        <w:t xml:space="preserve">1. Article 5 remains invoked and the North Atlantic Council sustains political consensus for the restoration of Estonian and Latvian territorial integrity by force if necessary.</w:t>
      </w:r>
    </w:p>
    <w:p>
      <w:r>
        <w:t xml:space="preserve">2. Germany, Poland, Denmark, the Netherlands, Belgium, Finland and Sweden grant unrestricted transit, overflight, basing and host-nation support for United States force flow, and European Union military-mobility procedures are expedited.</w:t>
      </w:r>
    </w:p>
    <w:p>
      <w:r>
        <w:t xml:space="preserve">3. Russia does not conduct conventional strikes against the continental United States; strikes against NATO territory outside the Baltic States remain possible and are covered under Alliance air and missile defense planning.</w:t>
      </w:r>
    </w:p>
    <w:p>
      <w:r>
        <w:t xml:space="preserve">4. Strategic sealift and Army Prepositioned Stocks 2 are sufficient to deliver 1st Armored Division with two armored brigade combat teams combat-ready in Poland not later than C+21 and the full division not later than C+45.</w:t>
      </w:r>
    </w:p>
    <w:p>
      <w:r>
        <w:t xml:space="preserve">5. The Baltic Sea will be contested but not closed; Danish Straits transit remains possible under Allied escort, and Klaipeda and Gdansk remain usable as sea ports of debarkation with mine countermeasures support.</w:t>
      </w:r>
    </w:p>
    <w:p>
      <w:r>
        <w:t xml:space="preserve">6. Russia will employ non-strategic nuclear signaling and may conduct a demonstrative detonation; deliberate nuclear employment against Allied forces is less likely but is planned for in Annex C Appendix 4.</w:t>
      </w:r>
    </w:p>
    <w:p>
      <w:r>
        <w:t xml:space="preserve">7. Belarusian forces remain uncommitted absent a Russian decision to expand the war, while Belarusian territory will be used by Russia for basing and fires.</w:t>
      </w:r>
    </w:p>
    <w:p>
      <w:r>
        <w:t xml:space="preserve">8. The Mission Partner Environment and NATO Federated Mission Networking provide adequate command and control interoperability for United States forces under NATO command.</w:t>
      </w:r>
    </w:p>
    <w:p>
      <w:r>
        <w:t xml:space="preserve">4. Intelligence.</w:t>
      </w:r>
    </w:p>
    <w:p>
      <w:r>
        <w:t xml:space="preserve">PIR 1. Will Russia expand the incursion beyond Ida-Viru and Latgale, and commit 1st Guards Tank Army or 20th Guards Combined Arms Army toward the Pskov axis?</w:t>
      </w:r>
    </w:p>
    <w:p>
      <w:r>
        <w:t xml:space="preserve">PIR 2. Will 11th Army Corps or Belarus-based forces attack to close the Suwalki corridor?</w:t>
      </w:r>
    </w:p>
    <w:p>
      <w:r>
        <w:t xml:space="preserve">PIR 3. Will Russian forces in Estonia and Latgale shift to maneuver defense, or seize Tartu, Daugavpils or the Daugava crossings before Alliance closure?</w:t>
      </w:r>
    </w:p>
    <w:p>
      <w:r>
        <w:t xml:space="preserve">PIR 4. Is Russia preparing to employ or demonstrate a non-strategic nuclear weapon?</w:t>
      </w:r>
    </w:p>
    <w:p>
      <w:r>
        <w:t xml:space="preserve">PIR 5. Where are the S-400 and S-300 batteries, electronic warfare complexes and Iskander launch units, and has the reconnaissance-strike complex been degraded enough for the D-Day air superiority condition?</w:t>
      </w:r>
    </w:p>
    <w:p>
      <w:r>
        <w:t xml:space="preserve">PIR 6. Will the Baltic Fleet sortie, mine the approaches, or strike Allied sea ports of debarkation?</w:t>
      </w:r>
    </w:p>
    <w:p>
      <w:r>
        <w:t xml:space="preserve">PIR 7. Are special operations, intelligence service or proxy networks positioning against lines of communication, air and sea ports of debarkation, undersea cables or the Klaipeda liquefied natural gas terminal?</w:t>
      </w:r>
    </w:p>
    <w:p>
      <w:r>
        <w:t xml:space="preserve">5. Sustainment. Reception, staging, onward movement and integration through Poland and Germany; Army Prepositioned Stocks 2 draw at Powidz, Dulmen, Zutendaal and Eygelshoven; class III and class V forward at brigade support areas.</w:t>
      </w:r>
    </w:p>
    <w:p>
      <w:r>
        <w:t xml:space="preserve">6. Command and Signal. United States European Command retains combatant command; transfer of authority to NATO command at closure; Mission Partner Environment and Federated Mission Networking for Alliance interoperability.</w:t>
      </w:r>
    </w:p>
    <w:p>
      <w:r>
        <w:t xml:space="preserve">UNCLASSIFIED — SYNTHETIC. FOR EXERCISE AND DEMONSTRATION USE ONLY. NOT A REAL PLAN.</w:t>
      </w:r>
    </w:p>
  </w:body>
</w:document>
</file>