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9453"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The StreetEasy Rent Index</w:t>
      </w:r>
    </w:p>
    <w:p w14:paraId="27170ED1"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 xml:space="preserve">The StreetEasy Rent Indices are monthly indices that track changes in rent for all housing types and are currently available from January 2007 in Manhattan, January 2010 in </w:t>
      </w:r>
      <w:proofErr w:type="gramStart"/>
      <w:r w:rsidRPr="00CA5880">
        <w:rPr>
          <w:rFonts w:ascii="Source Sans Pro" w:eastAsia="Times New Roman" w:hAnsi="Source Sans Pro" w:cs="Times New Roman"/>
          <w:color w:val="1A1F2C"/>
        </w:rPr>
        <w:t>Brooklyn</w:t>
      </w:r>
      <w:proofErr w:type="gramEnd"/>
      <w:r w:rsidRPr="00CA5880">
        <w:rPr>
          <w:rFonts w:ascii="Source Sans Pro" w:eastAsia="Times New Roman" w:hAnsi="Source Sans Pro" w:cs="Times New Roman"/>
          <w:color w:val="1A1F2C"/>
        </w:rPr>
        <w:t xml:space="preserve"> and January 2012 in Queens. Each index uses a repeat-sales method similar that used to calculate the StreetEasy Price Indices. The repeat method evaluates rental price growth based on homes </w:t>
      </w:r>
      <w:proofErr w:type="gramStart"/>
      <w:r w:rsidRPr="00CA5880">
        <w:rPr>
          <w:rFonts w:ascii="Source Sans Pro" w:eastAsia="Times New Roman" w:hAnsi="Source Sans Pro" w:cs="Times New Roman"/>
          <w:color w:val="1A1F2C"/>
        </w:rPr>
        <w:t>in a given</w:t>
      </w:r>
      <w:proofErr w:type="gramEnd"/>
      <w:r w:rsidRPr="00CA5880">
        <w:rPr>
          <w:rFonts w:ascii="Source Sans Pro" w:eastAsia="Times New Roman" w:hAnsi="Source Sans Pro" w:cs="Times New Roman"/>
          <w:color w:val="1A1F2C"/>
        </w:rPr>
        <w:t xml:space="preserve"> geography that have listed for rent more than once. More details on methodology </w:t>
      </w:r>
      <w:hyperlink r:id="rId4" w:history="1">
        <w:r w:rsidRPr="00CA5880">
          <w:rPr>
            <w:rFonts w:ascii="Source Sans Pro" w:eastAsia="Times New Roman" w:hAnsi="Source Sans Pro" w:cs="Times New Roman"/>
            <w:color w:val="1876DB"/>
            <w:u w:val="single"/>
          </w:rPr>
          <w:t>here</w:t>
        </w:r>
      </w:hyperlink>
      <w:r w:rsidRPr="00CA5880">
        <w:rPr>
          <w:rFonts w:ascii="Source Sans Pro" w:eastAsia="Times New Roman" w:hAnsi="Source Sans Pro" w:cs="Times New Roman"/>
          <w:color w:val="1A1F2C"/>
        </w:rPr>
        <w:t>.</w:t>
      </w:r>
    </w:p>
    <w:p w14:paraId="3AA03986"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Rental Inventory</w:t>
      </w:r>
    </w:p>
    <w:p w14:paraId="2FCB9C1A"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number of rental listings available on StreetEasy at any point during the month/quarter/year.</w:t>
      </w:r>
    </w:p>
    <w:p w14:paraId="313063CB"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Median Asking Rent</w:t>
      </w:r>
    </w:p>
    <w:p w14:paraId="28712E20"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exact middle asking rent among all rental listings available on StreetEasy at any point during the month/quarter/year. In general, median values are more accurate than average values, which may be skewed by price outliers (a few rentals that are extremely expensive or extremely inexpensive).</w:t>
      </w:r>
    </w:p>
    <w:p w14:paraId="19035120"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Share of Rent Cuts</w:t>
      </w:r>
    </w:p>
    <w:p w14:paraId="2F4C07C0"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share of all active rental listings on StreetEasy that had a reduction in asking rent during that month/quarter/year.</w:t>
      </w:r>
    </w:p>
    <w:p w14:paraId="3C15852D"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The StreetEasy Price Index</w:t>
      </w:r>
    </w:p>
    <w:p w14:paraId="20A2E6DE"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 xml:space="preserve">The StreetEasy Price Indices are monthly indices that track changes in resale prices of condo, co-op, </w:t>
      </w:r>
      <w:proofErr w:type="gramStart"/>
      <w:r w:rsidRPr="00CA5880">
        <w:rPr>
          <w:rFonts w:ascii="Source Sans Pro" w:eastAsia="Times New Roman" w:hAnsi="Source Sans Pro" w:cs="Times New Roman"/>
          <w:color w:val="1A1F2C"/>
        </w:rPr>
        <w:t>townhouse</w:t>
      </w:r>
      <w:proofErr w:type="gramEnd"/>
      <w:r w:rsidRPr="00CA5880">
        <w:rPr>
          <w:rFonts w:ascii="Source Sans Pro" w:eastAsia="Times New Roman" w:hAnsi="Source Sans Pro" w:cs="Times New Roman"/>
          <w:color w:val="1A1F2C"/>
        </w:rPr>
        <w:t xml:space="preserve"> and single-family homes, and are currently available for Manhattan, Brooklyn, and Queens. Each index uses a repeat-sales method of comparing the sales prices of the same properties since January 1995 in Manhattan and January 2005 in Brooklyn and Queens. The repeat-sales method allows each index to better capture changes in home prices by controlling for the composition of homes sold </w:t>
      </w:r>
      <w:proofErr w:type="gramStart"/>
      <w:r w:rsidRPr="00CA5880">
        <w:rPr>
          <w:rFonts w:ascii="Source Sans Pro" w:eastAsia="Times New Roman" w:hAnsi="Source Sans Pro" w:cs="Times New Roman"/>
          <w:color w:val="1A1F2C"/>
        </w:rPr>
        <w:t>in a given</w:t>
      </w:r>
      <w:proofErr w:type="gramEnd"/>
      <w:r w:rsidRPr="00CA5880">
        <w:rPr>
          <w:rFonts w:ascii="Source Sans Pro" w:eastAsia="Times New Roman" w:hAnsi="Source Sans Pro" w:cs="Times New Roman"/>
          <w:color w:val="1A1F2C"/>
        </w:rPr>
        <w:t xml:space="preserve"> month. Data on arms-length sales of homes comes from the New York City Department of Finance. More details on methodology </w:t>
      </w:r>
      <w:hyperlink r:id="rId5" w:history="1">
        <w:r w:rsidRPr="00CA5880">
          <w:rPr>
            <w:rFonts w:ascii="Source Sans Pro" w:eastAsia="Times New Roman" w:hAnsi="Source Sans Pro" w:cs="Times New Roman"/>
            <w:color w:val="1876DB"/>
            <w:u w:val="single"/>
          </w:rPr>
          <w:t>here</w:t>
        </w:r>
      </w:hyperlink>
      <w:r w:rsidRPr="00CA5880">
        <w:rPr>
          <w:rFonts w:ascii="Source Sans Pro" w:eastAsia="Times New Roman" w:hAnsi="Source Sans Pro" w:cs="Times New Roman"/>
          <w:color w:val="1A1F2C"/>
        </w:rPr>
        <w:t>.</w:t>
      </w:r>
    </w:p>
    <w:p w14:paraId="247F8C1F"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Median Days on Market</w:t>
      </w:r>
    </w:p>
    <w:p w14:paraId="4C2F40F3"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lastRenderedPageBreak/>
        <w:t>Days on market is the number of days from the date of creation of a listing on StreetEasy to the date the listing enters contract. Median Days on Market reflects the exact middle number of days on market among all listings available on StreetEasy that entered contract during a given month/quarter/year.</w:t>
      </w:r>
    </w:p>
    <w:p w14:paraId="4BDB9340"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Sales Inventory</w:t>
      </w:r>
    </w:p>
    <w:p w14:paraId="41ACEA72"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number of sales listings available on StreetEasy at any point during the month/quarter/year. For example, if a unit was originally listed in February and sold in May, it would be included in the inventory number for the first quarter and the second quarter. This approach allows us to analyze what was available to buyers in a quarter – instead of an arbitrary moment or cut-off point.</w:t>
      </w:r>
    </w:p>
    <w:p w14:paraId="21AAFC58"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Median Asking Price</w:t>
      </w:r>
    </w:p>
    <w:p w14:paraId="379F8925"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exact middle asking price among all asking prices of available listed homes during the month/quarter/year.</w:t>
      </w:r>
    </w:p>
    <w:p w14:paraId="7E5D2DB9"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Median Price Cut</w:t>
      </w:r>
    </w:p>
    <w:p w14:paraId="57B017E1"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exact middle price cut (as a percentage of total asking price) among all available listings on StreetEasy that received a price cut during the month/quarter/year.</w:t>
      </w:r>
    </w:p>
    <w:p w14:paraId="1990EE61"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Median Recorded Sale Price</w:t>
      </w:r>
    </w:p>
    <w:p w14:paraId="6815B855"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 xml:space="preserve">The exact middle sales price among all recorded sales prices of homes that closed during the month/quarter/year. In general, median values are more accurate than average values, which may be skewed by price outliers (a few sales that are extremely expensive or extremely inexpensive). </w:t>
      </w:r>
      <w:proofErr w:type="gramStart"/>
      <w:r w:rsidRPr="00CA5880">
        <w:rPr>
          <w:rFonts w:ascii="Source Sans Pro" w:eastAsia="Times New Roman" w:hAnsi="Source Sans Pro" w:cs="Times New Roman"/>
          <w:color w:val="1A1F2C"/>
        </w:rPr>
        <w:t>In order to</w:t>
      </w:r>
      <w:proofErr w:type="gramEnd"/>
      <w:r w:rsidRPr="00CA5880">
        <w:rPr>
          <w:rFonts w:ascii="Source Sans Pro" w:eastAsia="Times New Roman" w:hAnsi="Source Sans Pro" w:cs="Times New Roman"/>
          <w:color w:val="1A1F2C"/>
        </w:rPr>
        <w:t xml:space="preserve"> consider only arms-length transactions, we do not include foreclosures or sales prices lower than $10,000 in this calculation. Records on home sales transactions come from the New York City Department of Finance.</w:t>
      </w:r>
    </w:p>
    <w:p w14:paraId="244D7E74"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Percent with Price Cut</w:t>
      </w:r>
    </w:p>
    <w:p w14:paraId="4BF8FF5B"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t>The share of all active sales listings on StreetEasy that had a reduction in asking price during that month/quarter/year.</w:t>
      </w:r>
    </w:p>
    <w:p w14:paraId="2A693062" w14:textId="77777777" w:rsidR="00CA5880" w:rsidRPr="00CA5880" w:rsidRDefault="00CA5880" w:rsidP="00CA5880">
      <w:pPr>
        <w:shd w:val="clear" w:color="auto" w:fill="FFFFFF"/>
        <w:spacing w:line="450" w:lineRule="atLeast"/>
        <w:rPr>
          <w:rFonts w:ascii="Source Sans Pro" w:eastAsia="Times New Roman" w:hAnsi="Source Sans Pro" w:cs="Times New Roman"/>
          <w:b/>
          <w:bCs/>
          <w:color w:val="1A1F2C"/>
        </w:rPr>
      </w:pPr>
      <w:r w:rsidRPr="00CA5880">
        <w:rPr>
          <w:rFonts w:ascii="Source Sans Pro" w:eastAsia="Times New Roman" w:hAnsi="Source Sans Pro" w:cs="Times New Roman"/>
          <w:b/>
          <w:bCs/>
          <w:color w:val="1A1F2C"/>
        </w:rPr>
        <w:t>Sale Price to List Price Ratio</w:t>
      </w:r>
    </w:p>
    <w:p w14:paraId="2071EFC7" w14:textId="77777777" w:rsidR="00CA5880" w:rsidRPr="00CA5880" w:rsidRDefault="00CA5880" w:rsidP="00CA5880">
      <w:pPr>
        <w:shd w:val="clear" w:color="auto" w:fill="FFFFFF"/>
        <w:spacing w:line="450" w:lineRule="atLeast"/>
        <w:rPr>
          <w:rFonts w:ascii="Source Sans Pro" w:eastAsia="Times New Roman" w:hAnsi="Source Sans Pro" w:cs="Times New Roman"/>
          <w:color w:val="1A1F2C"/>
        </w:rPr>
      </w:pPr>
      <w:r w:rsidRPr="00CA5880">
        <w:rPr>
          <w:rFonts w:ascii="Source Sans Pro" w:eastAsia="Times New Roman" w:hAnsi="Source Sans Pro" w:cs="Times New Roman"/>
          <w:color w:val="1A1F2C"/>
        </w:rPr>
        <w:lastRenderedPageBreak/>
        <w:t xml:space="preserve">The final recorded sales price of a home divided by its initial asking price. A sale-to-list price ratio of 90 percent means the home sold for 90 percent of its initial asking price. The sale-to-list price ratio reported is the exact middle ratio among all homes that we </w:t>
      </w:r>
      <w:proofErr w:type="gramStart"/>
      <w:r w:rsidRPr="00CA5880">
        <w:rPr>
          <w:rFonts w:ascii="Source Sans Pro" w:eastAsia="Times New Roman" w:hAnsi="Source Sans Pro" w:cs="Times New Roman"/>
          <w:color w:val="1A1F2C"/>
        </w:rPr>
        <w:t>are able to</w:t>
      </w:r>
      <w:proofErr w:type="gramEnd"/>
      <w:r w:rsidRPr="00CA5880">
        <w:rPr>
          <w:rFonts w:ascii="Source Sans Pro" w:eastAsia="Times New Roman" w:hAnsi="Source Sans Pro" w:cs="Times New Roman"/>
          <w:color w:val="1A1F2C"/>
        </w:rPr>
        <w:t xml:space="preserve"> match a recorded sale with a listing on StreetEasy.</w:t>
      </w:r>
    </w:p>
    <w:p w14:paraId="6BFCF7DF" w14:textId="77777777" w:rsidR="007B7069" w:rsidRDefault="00CA5880"/>
    <w:sectPr w:rsidR="007B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80"/>
    <w:rsid w:val="006E7A38"/>
    <w:rsid w:val="008B15BD"/>
    <w:rsid w:val="00CA5880"/>
    <w:rsid w:val="00F8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C20C49"/>
  <w15:chartTrackingRefBased/>
  <w15:docId w15:val="{DF2D1F64-B1E0-7F4B-BB0E-A0F3B122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5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41865">
      <w:bodyDiv w:val="1"/>
      <w:marLeft w:val="0"/>
      <w:marRight w:val="0"/>
      <w:marTop w:val="0"/>
      <w:marBottom w:val="0"/>
      <w:divBdr>
        <w:top w:val="none" w:sz="0" w:space="0" w:color="auto"/>
        <w:left w:val="none" w:sz="0" w:space="0" w:color="auto"/>
        <w:bottom w:val="none" w:sz="0" w:space="0" w:color="auto"/>
        <w:right w:val="none" w:sz="0" w:space="0" w:color="auto"/>
      </w:divBdr>
      <w:divsChild>
        <w:div w:id="1725448691">
          <w:marLeft w:val="0"/>
          <w:marRight w:val="0"/>
          <w:marTop w:val="0"/>
          <w:marBottom w:val="750"/>
          <w:divBdr>
            <w:top w:val="none" w:sz="0" w:space="0" w:color="auto"/>
            <w:left w:val="none" w:sz="0" w:space="0" w:color="auto"/>
            <w:bottom w:val="none" w:sz="0" w:space="0" w:color="auto"/>
            <w:right w:val="none" w:sz="0" w:space="0" w:color="auto"/>
          </w:divBdr>
          <w:divsChild>
            <w:div w:id="826046688">
              <w:marLeft w:val="0"/>
              <w:marRight w:val="375"/>
              <w:marTop w:val="0"/>
              <w:marBottom w:val="0"/>
              <w:divBdr>
                <w:top w:val="none" w:sz="0" w:space="0" w:color="auto"/>
                <w:left w:val="none" w:sz="0" w:space="0" w:color="auto"/>
                <w:bottom w:val="none" w:sz="0" w:space="0" w:color="auto"/>
                <w:right w:val="none" w:sz="0" w:space="0" w:color="auto"/>
              </w:divBdr>
            </w:div>
            <w:div w:id="1622148823">
              <w:marLeft w:val="0"/>
              <w:marRight w:val="0"/>
              <w:marTop w:val="0"/>
              <w:marBottom w:val="0"/>
              <w:divBdr>
                <w:top w:val="none" w:sz="0" w:space="0" w:color="auto"/>
                <w:left w:val="none" w:sz="0" w:space="0" w:color="auto"/>
                <w:bottom w:val="none" w:sz="0" w:space="0" w:color="auto"/>
                <w:right w:val="none" w:sz="0" w:space="0" w:color="auto"/>
              </w:divBdr>
            </w:div>
          </w:divsChild>
        </w:div>
        <w:div w:id="1742024459">
          <w:marLeft w:val="0"/>
          <w:marRight w:val="0"/>
          <w:marTop w:val="0"/>
          <w:marBottom w:val="750"/>
          <w:divBdr>
            <w:top w:val="none" w:sz="0" w:space="0" w:color="auto"/>
            <w:left w:val="none" w:sz="0" w:space="0" w:color="auto"/>
            <w:bottom w:val="none" w:sz="0" w:space="0" w:color="auto"/>
            <w:right w:val="none" w:sz="0" w:space="0" w:color="auto"/>
          </w:divBdr>
          <w:divsChild>
            <w:div w:id="359429399">
              <w:marLeft w:val="0"/>
              <w:marRight w:val="375"/>
              <w:marTop w:val="0"/>
              <w:marBottom w:val="0"/>
              <w:divBdr>
                <w:top w:val="none" w:sz="0" w:space="0" w:color="auto"/>
                <w:left w:val="none" w:sz="0" w:space="0" w:color="auto"/>
                <w:bottom w:val="none" w:sz="0" w:space="0" w:color="auto"/>
                <w:right w:val="none" w:sz="0" w:space="0" w:color="auto"/>
              </w:divBdr>
            </w:div>
            <w:div w:id="232203446">
              <w:marLeft w:val="0"/>
              <w:marRight w:val="0"/>
              <w:marTop w:val="0"/>
              <w:marBottom w:val="0"/>
              <w:divBdr>
                <w:top w:val="none" w:sz="0" w:space="0" w:color="auto"/>
                <w:left w:val="none" w:sz="0" w:space="0" w:color="auto"/>
                <w:bottom w:val="none" w:sz="0" w:space="0" w:color="auto"/>
                <w:right w:val="none" w:sz="0" w:space="0" w:color="auto"/>
              </w:divBdr>
            </w:div>
          </w:divsChild>
        </w:div>
        <w:div w:id="1312369539">
          <w:marLeft w:val="0"/>
          <w:marRight w:val="0"/>
          <w:marTop w:val="0"/>
          <w:marBottom w:val="750"/>
          <w:divBdr>
            <w:top w:val="none" w:sz="0" w:space="0" w:color="auto"/>
            <w:left w:val="none" w:sz="0" w:space="0" w:color="auto"/>
            <w:bottom w:val="none" w:sz="0" w:space="0" w:color="auto"/>
            <w:right w:val="none" w:sz="0" w:space="0" w:color="auto"/>
          </w:divBdr>
          <w:divsChild>
            <w:div w:id="1418941711">
              <w:marLeft w:val="0"/>
              <w:marRight w:val="375"/>
              <w:marTop w:val="0"/>
              <w:marBottom w:val="0"/>
              <w:divBdr>
                <w:top w:val="none" w:sz="0" w:space="0" w:color="auto"/>
                <w:left w:val="none" w:sz="0" w:space="0" w:color="auto"/>
                <w:bottom w:val="none" w:sz="0" w:space="0" w:color="auto"/>
                <w:right w:val="none" w:sz="0" w:space="0" w:color="auto"/>
              </w:divBdr>
            </w:div>
            <w:div w:id="922101845">
              <w:marLeft w:val="0"/>
              <w:marRight w:val="0"/>
              <w:marTop w:val="0"/>
              <w:marBottom w:val="0"/>
              <w:divBdr>
                <w:top w:val="none" w:sz="0" w:space="0" w:color="auto"/>
                <w:left w:val="none" w:sz="0" w:space="0" w:color="auto"/>
                <w:bottom w:val="none" w:sz="0" w:space="0" w:color="auto"/>
                <w:right w:val="none" w:sz="0" w:space="0" w:color="auto"/>
              </w:divBdr>
            </w:div>
          </w:divsChild>
        </w:div>
        <w:div w:id="1715151065">
          <w:marLeft w:val="0"/>
          <w:marRight w:val="375"/>
          <w:marTop w:val="0"/>
          <w:marBottom w:val="0"/>
          <w:divBdr>
            <w:top w:val="none" w:sz="0" w:space="0" w:color="auto"/>
            <w:left w:val="none" w:sz="0" w:space="0" w:color="auto"/>
            <w:bottom w:val="none" w:sz="0" w:space="0" w:color="auto"/>
            <w:right w:val="none" w:sz="0" w:space="0" w:color="auto"/>
          </w:divBdr>
        </w:div>
        <w:div w:id="819811869">
          <w:marLeft w:val="0"/>
          <w:marRight w:val="0"/>
          <w:marTop w:val="0"/>
          <w:marBottom w:val="0"/>
          <w:divBdr>
            <w:top w:val="none" w:sz="0" w:space="0" w:color="auto"/>
            <w:left w:val="none" w:sz="0" w:space="0" w:color="auto"/>
            <w:bottom w:val="none" w:sz="0" w:space="0" w:color="auto"/>
            <w:right w:val="none" w:sz="0" w:space="0" w:color="auto"/>
          </w:divBdr>
        </w:div>
      </w:divsChild>
    </w:div>
    <w:div w:id="1548491542">
      <w:bodyDiv w:val="1"/>
      <w:marLeft w:val="0"/>
      <w:marRight w:val="0"/>
      <w:marTop w:val="0"/>
      <w:marBottom w:val="0"/>
      <w:divBdr>
        <w:top w:val="none" w:sz="0" w:space="0" w:color="auto"/>
        <w:left w:val="none" w:sz="0" w:space="0" w:color="auto"/>
        <w:bottom w:val="none" w:sz="0" w:space="0" w:color="auto"/>
        <w:right w:val="none" w:sz="0" w:space="0" w:color="auto"/>
      </w:divBdr>
      <w:divsChild>
        <w:div w:id="295572722">
          <w:marLeft w:val="0"/>
          <w:marRight w:val="0"/>
          <w:marTop w:val="0"/>
          <w:marBottom w:val="750"/>
          <w:divBdr>
            <w:top w:val="none" w:sz="0" w:space="0" w:color="auto"/>
            <w:left w:val="none" w:sz="0" w:space="0" w:color="auto"/>
            <w:bottom w:val="none" w:sz="0" w:space="0" w:color="auto"/>
            <w:right w:val="none" w:sz="0" w:space="0" w:color="auto"/>
          </w:divBdr>
          <w:divsChild>
            <w:div w:id="629823333">
              <w:marLeft w:val="0"/>
              <w:marRight w:val="375"/>
              <w:marTop w:val="0"/>
              <w:marBottom w:val="0"/>
              <w:divBdr>
                <w:top w:val="none" w:sz="0" w:space="0" w:color="auto"/>
                <w:left w:val="none" w:sz="0" w:space="0" w:color="auto"/>
                <w:bottom w:val="none" w:sz="0" w:space="0" w:color="auto"/>
                <w:right w:val="none" w:sz="0" w:space="0" w:color="auto"/>
              </w:divBdr>
            </w:div>
            <w:div w:id="1461339261">
              <w:marLeft w:val="0"/>
              <w:marRight w:val="0"/>
              <w:marTop w:val="0"/>
              <w:marBottom w:val="0"/>
              <w:divBdr>
                <w:top w:val="none" w:sz="0" w:space="0" w:color="auto"/>
                <w:left w:val="none" w:sz="0" w:space="0" w:color="auto"/>
                <w:bottom w:val="none" w:sz="0" w:space="0" w:color="auto"/>
                <w:right w:val="none" w:sz="0" w:space="0" w:color="auto"/>
              </w:divBdr>
            </w:div>
          </w:divsChild>
        </w:div>
        <w:div w:id="1658799487">
          <w:marLeft w:val="0"/>
          <w:marRight w:val="0"/>
          <w:marTop w:val="0"/>
          <w:marBottom w:val="750"/>
          <w:divBdr>
            <w:top w:val="none" w:sz="0" w:space="0" w:color="auto"/>
            <w:left w:val="none" w:sz="0" w:space="0" w:color="auto"/>
            <w:bottom w:val="none" w:sz="0" w:space="0" w:color="auto"/>
            <w:right w:val="none" w:sz="0" w:space="0" w:color="auto"/>
          </w:divBdr>
          <w:divsChild>
            <w:div w:id="214899287">
              <w:marLeft w:val="0"/>
              <w:marRight w:val="375"/>
              <w:marTop w:val="0"/>
              <w:marBottom w:val="0"/>
              <w:divBdr>
                <w:top w:val="none" w:sz="0" w:space="0" w:color="auto"/>
                <w:left w:val="none" w:sz="0" w:space="0" w:color="auto"/>
                <w:bottom w:val="none" w:sz="0" w:space="0" w:color="auto"/>
                <w:right w:val="none" w:sz="0" w:space="0" w:color="auto"/>
              </w:divBdr>
            </w:div>
            <w:div w:id="447357506">
              <w:marLeft w:val="0"/>
              <w:marRight w:val="0"/>
              <w:marTop w:val="0"/>
              <w:marBottom w:val="0"/>
              <w:divBdr>
                <w:top w:val="none" w:sz="0" w:space="0" w:color="auto"/>
                <w:left w:val="none" w:sz="0" w:space="0" w:color="auto"/>
                <w:bottom w:val="none" w:sz="0" w:space="0" w:color="auto"/>
                <w:right w:val="none" w:sz="0" w:space="0" w:color="auto"/>
              </w:divBdr>
            </w:div>
          </w:divsChild>
        </w:div>
        <w:div w:id="1783451352">
          <w:marLeft w:val="0"/>
          <w:marRight w:val="0"/>
          <w:marTop w:val="0"/>
          <w:marBottom w:val="750"/>
          <w:divBdr>
            <w:top w:val="none" w:sz="0" w:space="0" w:color="auto"/>
            <w:left w:val="none" w:sz="0" w:space="0" w:color="auto"/>
            <w:bottom w:val="none" w:sz="0" w:space="0" w:color="auto"/>
            <w:right w:val="none" w:sz="0" w:space="0" w:color="auto"/>
          </w:divBdr>
          <w:divsChild>
            <w:div w:id="824393769">
              <w:marLeft w:val="0"/>
              <w:marRight w:val="375"/>
              <w:marTop w:val="0"/>
              <w:marBottom w:val="0"/>
              <w:divBdr>
                <w:top w:val="none" w:sz="0" w:space="0" w:color="auto"/>
                <w:left w:val="none" w:sz="0" w:space="0" w:color="auto"/>
                <w:bottom w:val="none" w:sz="0" w:space="0" w:color="auto"/>
                <w:right w:val="none" w:sz="0" w:space="0" w:color="auto"/>
              </w:divBdr>
            </w:div>
            <w:div w:id="1968078116">
              <w:marLeft w:val="0"/>
              <w:marRight w:val="0"/>
              <w:marTop w:val="0"/>
              <w:marBottom w:val="0"/>
              <w:divBdr>
                <w:top w:val="none" w:sz="0" w:space="0" w:color="auto"/>
                <w:left w:val="none" w:sz="0" w:space="0" w:color="auto"/>
                <w:bottom w:val="none" w:sz="0" w:space="0" w:color="auto"/>
                <w:right w:val="none" w:sz="0" w:space="0" w:color="auto"/>
              </w:divBdr>
            </w:div>
          </w:divsChild>
        </w:div>
        <w:div w:id="1623029946">
          <w:marLeft w:val="0"/>
          <w:marRight w:val="0"/>
          <w:marTop w:val="0"/>
          <w:marBottom w:val="750"/>
          <w:divBdr>
            <w:top w:val="none" w:sz="0" w:space="0" w:color="auto"/>
            <w:left w:val="none" w:sz="0" w:space="0" w:color="auto"/>
            <w:bottom w:val="none" w:sz="0" w:space="0" w:color="auto"/>
            <w:right w:val="none" w:sz="0" w:space="0" w:color="auto"/>
          </w:divBdr>
          <w:divsChild>
            <w:div w:id="1670669025">
              <w:marLeft w:val="0"/>
              <w:marRight w:val="375"/>
              <w:marTop w:val="0"/>
              <w:marBottom w:val="0"/>
              <w:divBdr>
                <w:top w:val="none" w:sz="0" w:space="0" w:color="auto"/>
                <w:left w:val="none" w:sz="0" w:space="0" w:color="auto"/>
                <w:bottom w:val="none" w:sz="0" w:space="0" w:color="auto"/>
                <w:right w:val="none" w:sz="0" w:space="0" w:color="auto"/>
              </w:divBdr>
            </w:div>
            <w:div w:id="111677337">
              <w:marLeft w:val="0"/>
              <w:marRight w:val="0"/>
              <w:marTop w:val="0"/>
              <w:marBottom w:val="0"/>
              <w:divBdr>
                <w:top w:val="none" w:sz="0" w:space="0" w:color="auto"/>
                <w:left w:val="none" w:sz="0" w:space="0" w:color="auto"/>
                <w:bottom w:val="none" w:sz="0" w:space="0" w:color="auto"/>
                <w:right w:val="none" w:sz="0" w:space="0" w:color="auto"/>
              </w:divBdr>
            </w:div>
          </w:divsChild>
        </w:div>
        <w:div w:id="75983819">
          <w:marLeft w:val="0"/>
          <w:marRight w:val="0"/>
          <w:marTop w:val="0"/>
          <w:marBottom w:val="750"/>
          <w:divBdr>
            <w:top w:val="none" w:sz="0" w:space="0" w:color="auto"/>
            <w:left w:val="none" w:sz="0" w:space="0" w:color="auto"/>
            <w:bottom w:val="none" w:sz="0" w:space="0" w:color="auto"/>
            <w:right w:val="none" w:sz="0" w:space="0" w:color="auto"/>
          </w:divBdr>
          <w:divsChild>
            <w:div w:id="492796962">
              <w:marLeft w:val="0"/>
              <w:marRight w:val="375"/>
              <w:marTop w:val="0"/>
              <w:marBottom w:val="0"/>
              <w:divBdr>
                <w:top w:val="none" w:sz="0" w:space="0" w:color="auto"/>
                <w:left w:val="none" w:sz="0" w:space="0" w:color="auto"/>
                <w:bottom w:val="none" w:sz="0" w:space="0" w:color="auto"/>
                <w:right w:val="none" w:sz="0" w:space="0" w:color="auto"/>
              </w:divBdr>
            </w:div>
            <w:div w:id="1262105013">
              <w:marLeft w:val="0"/>
              <w:marRight w:val="0"/>
              <w:marTop w:val="0"/>
              <w:marBottom w:val="0"/>
              <w:divBdr>
                <w:top w:val="none" w:sz="0" w:space="0" w:color="auto"/>
                <w:left w:val="none" w:sz="0" w:space="0" w:color="auto"/>
                <w:bottom w:val="none" w:sz="0" w:space="0" w:color="auto"/>
                <w:right w:val="none" w:sz="0" w:space="0" w:color="auto"/>
              </w:divBdr>
            </w:div>
          </w:divsChild>
        </w:div>
        <w:div w:id="1748111769">
          <w:marLeft w:val="0"/>
          <w:marRight w:val="0"/>
          <w:marTop w:val="0"/>
          <w:marBottom w:val="750"/>
          <w:divBdr>
            <w:top w:val="none" w:sz="0" w:space="0" w:color="auto"/>
            <w:left w:val="none" w:sz="0" w:space="0" w:color="auto"/>
            <w:bottom w:val="none" w:sz="0" w:space="0" w:color="auto"/>
            <w:right w:val="none" w:sz="0" w:space="0" w:color="auto"/>
          </w:divBdr>
          <w:divsChild>
            <w:div w:id="1921326763">
              <w:marLeft w:val="0"/>
              <w:marRight w:val="375"/>
              <w:marTop w:val="0"/>
              <w:marBottom w:val="0"/>
              <w:divBdr>
                <w:top w:val="none" w:sz="0" w:space="0" w:color="auto"/>
                <w:left w:val="none" w:sz="0" w:space="0" w:color="auto"/>
                <w:bottom w:val="none" w:sz="0" w:space="0" w:color="auto"/>
                <w:right w:val="none" w:sz="0" w:space="0" w:color="auto"/>
              </w:divBdr>
            </w:div>
            <w:div w:id="539130324">
              <w:marLeft w:val="0"/>
              <w:marRight w:val="0"/>
              <w:marTop w:val="0"/>
              <w:marBottom w:val="0"/>
              <w:divBdr>
                <w:top w:val="none" w:sz="0" w:space="0" w:color="auto"/>
                <w:left w:val="none" w:sz="0" w:space="0" w:color="auto"/>
                <w:bottom w:val="none" w:sz="0" w:space="0" w:color="auto"/>
                <w:right w:val="none" w:sz="0" w:space="0" w:color="auto"/>
              </w:divBdr>
            </w:div>
          </w:divsChild>
        </w:div>
        <w:div w:id="1240795694">
          <w:marLeft w:val="0"/>
          <w:marRight w:val="0"/>
          <w:marTop w:val="0"/>
          <w:marBottom w:val="750"/>
          <w:divBdr>
            <w:top w:val="none" w:sz="0" w:space="0" w:color="auto"/>
            <w:left w:val="none" w:sz="0" w:space="0" w:color="auto"/>
            <w:bottom w:val="none" w:sz="0" w:space="0" w:color="auto"/>
            <w:right w:val="none" w:sz="0" w:space="0" w:color="auto"/>
          </w:divBdr>
          <w:divsChild>
            <w:div w:id="569853136">
              <w:marLeft w:val="0"/>
              <w:marRight w:val="375"/>
              <w:marTop w:val="0"/>
              <w:marBottom w:val="0"/>
              <w:divBdr>
                <w:top w:val="none" w:sz="0" w:space="0" w:color="auto"/>
                <w:left w:val="none" w:sz="0" w:space="0" w:color="auto"/>
                <w:bottom w:val="none" w:sz="0" w:space="0" w:color="auto"/>
                <w:right w:val="none" w:sz="0" w:space="0" w:color="auto"/>
              </w:divBdr>
            </w:div>
            <w:div w:id="249581495">
              <w:marLeft w:val="0"/>
              <w:marRight w:val="0"/>
              <w:marTop w:val="0"/>
              <w:marBottom w:val="0"/>
              <w:divBdr>
                <w:top w:val="none" w:sz="0" w:space="0" w:color="auto"/>
                <w:left w:val="none" w:sz="0" w:space="0" w:color="auto"/>
                <w:bottom w:val="none" w:sz="0" w:space="0" w:color="auto"/>
                <w:right w:val="none" w:sz="0" w:space="0" w:color="auto"/>
              </w:divBdr>
            </w:div>
          </w:divsChild>
        </w:div>
        <w:div w:id="72355937">
          <w:marLeft w:val="0"/>
          <w:marRight w:val="375"/>
          <w:marTop w:val="0"/>
          <w:marBottom w:val="0"/>
          <w:divBdr>
            <w:top w:val="none" w:sz="0" w:space="0" w:color="auto"/>
            <w:left w:val="none" w:sz="0" w:space="0" w:color="auto"/>
            <w:bottom w:val="none" w:sz="0" w:space="0" w:color="auto"/>
            <w:right w:val="none" w:sz="0" w:space="0" w:color="auto"/>
          </w:divBdr>
        </w:div>
        <w:div w:id="151637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reeteasy.com/blog/methodology-price-and-rent-indices/" TargetMode="External"/><Relationship Id="rId4" Type="http://schemas.openxmlformats.org/officeDocument/2006/relationships/hyperlink" Target="https://streeteasy.com/blog/methodology-price-and-rent-ind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Ziping Wei</dc:creator>
  <cp:keywords/>
  <dc:description/>
  <cp:lastModifiedBy>Ziping Wei</cp:lastModifiedBy>
  <cp:revision>1</cp:revision>
  <dcterms:created xsi:type="dcterms:W3CDTF">2022-06-09T03:22:00Z</dcterms:created>
  <dcterms:modified xsi:type="dcterms:W3CDTF">2022-06-09T03:23:00Z</dcterms:modified>
</cp:coreProperties>
</file>