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787eeccb5f393b27246f4a3727e252c90cfe59"/>
    <w:p>
      <w:pPr>
        <w:pStyle w:val="Heading1"/>
      </w:pPr>
      <w:r>
        <w:t xml:space="preserve">AI-Assisted Variance Commentary Reviewer Checklist</w:t>
      </w:r>
    </w:p>
    <w:p>
      <w:pPr>
        <w:pStyle w:val="FirstParagraph"/>
      </w:pPr>
      <w:r>
        <w:t xml:space="preserve">Before using AI-assisted variance commentary in a close package, management report, board package, lender package, or audit response, confirm the following:</w:t>
      </w:r>
    </w:p>
    <w:bookmarkStart w:id="20" w:name="source-data"/>
    <w:p>
      <w:pPr>
        <w:pStyle w:val="Heading2"/>
      </w:pPr>
      <w:r>
        <w:t xml:space="preserve">Source Data</w:t>
      </w:r>
    </w:p>
    <w:p>
      <w:pPr>
        <w:pStyle w:val="Compact"/>
        <w:numPr>
          <w:ilvl w:val="0"/>
          <w:numId w:val="1001"/>
        </w:numPr>
      </w:pPr>
      <w:r>
        <w:t xml:space="preserve">The report ties to the approved financial reporting source.</w:t>
      </w:r>
    </w:p>
    <w:p>
      <w:pPr>
        <w:pStyle w:val="Compact"/>
        <w:numPr>
          <w:ilvl w:val="0"/>
          <w:numId w:val="1001"/>
        </w:numPr>
      </w:pPr>
      <w:r>
        <w:t xml:space="preserve">The correct reporting period was used.</w:t>
      </w:r>
    </w:p>
    <w:p>
      <w:pPr>
        <w:pStyle w:val="Compact"/>
        <w:numPr>
          <w:ilvl w:val="0"/>
          <w:numId w:val="1001"/>
        </w:numPr>
      </w:pPr>
      <w:r>
        <w:t xml:space="preserve">The correct comparison basis was used.</w:t>
      </w:r>
    </w:p>
    <w:p>
      <w:pPr>
        <w:pStyle w:val="Compact"/>
        <w:numPr>
          <w:ilvl w:val="0"/>
          <w:numId w:val="1001"/>
        </w:numPr>
      </w:pPr>
      <w:r>
        <w:t xml:space="preserve">Budget, prior month, or prior year data is complete.</w:t>
      </w:r>
    </w:p>
    <w:p>
      <w:pPr>
        <w:pStyle w:val="Compact"/>
        <w:numPr>
          <w:ilvl w:val="0"/>
          <w:numId w:val="1001"/>
        </w:numPr>
      </w:pPr>
      <w:r>
        <w:t xml:space="preserve">Account mappings are accurate.</w:t>
      </w:r>
    </w:p>
    <w:bookmarkEnd w:id="20"/>
    <w:bookmarkStart w:id="21" w:name="materiality"/>
    <w:p>
      <w:pPr>
        <w:pStyle w:val="Heading2"/>
      </w:pPr>
      <w:r>
        <w:t xml:space="preserve">Materiality</w:t>
      </w:r>
    </w:p>
    <w:p>
      <w:pPr>
        <w:pStyle w:val="Compact"/>
        <w:numPr>
          <w:ilvl w:val="0"/>
          <w:numId w:val="1002"/>
        </w:numPr>
      </w:pPr>
      <w:r>
        <w:t xml:space="preserve">Materiality thresholds were applied correctly.</w:t>
      </w:r>
    </w:p>
    <w:p>
      <w:pPr>
        <w:pStyle w:val="Compact"/>
        <w:numPr>
          <w:ilvl w:val="0"/>
          <w:numId w:val="1002"/>
        </w:numPr>
      </w:pPr>
      <w:r>
        <w:t xml:space="preserve">High-dollar variances were identified.</w:t>
      </w:r>
    </w:p>
    <w:p>
      <w:pPr>
        <w:pStyle w:val="Compact"/>
        <w:numPr>
          <w:ilvl w:val="0"/>
          <w:numId w:val="1002"/>
        </w:numPr>
      </w:pPr>
      <w:r>
        <w:t xml:space="preserve">High-percentage variances were identified.</w:t>
      </w:r>
    </w:p>
    <w:p>
      <w:pPr>
        <w:pStyle w:val="Compact"/>
        <w:numPr>
          <w:ilvl w:val="0"/>
          <w:numId w:val="1002"/>
        </w:numPr>
      </w:pPr>
      <w:r>
        <w:t xml:space="preserve">Sensitive accounts were reviewed even if below threshold.</w:t>
      </w:r>
    </w:p>
    <w:bookmarkEnd w:id="21"/>
    <w:bookmarkStart w:id="22" w:name="explanation-quality"/>
    <w:p>
      <w:pPr>
        <w:pStyle w:val="Heading2"/>
      </w:pPr>
      <w:r>
        <w:t xml:space="preserve">Explanation Quality</w:t>
      </w:r>
    </w:p>
    <w:p>
      <w:pPr>
        <w:pStyle w:val="Compact"/>
        <w:numPr>
          <w:ilvl w:val="0"/>
          <w:numId w:val="1003"/>
        </w:numPr>
      </w:pPr>
      <w:r>
        <w:t xml:space="preserve">Commentary separates facts from assumptions.</w:t>
      </w:r>
    </w:p>
    <w:p>
      <w:pPr>
        <w:pStyle w:val="Compact"/>
        <w:numPr>
          <w:ilvl w:val="0"/>
          <w:numId w:val="1003"/>
        </w:numPr>
      </w:pPr>
      <w:r>
        <w:t xml:space="preserve">Unsupported explanations are labeled as open questions.</w:t>
      </w:r>
    </w:p>
    <w:p>
      <w:pPr>
        <w:pStyle w:val="Compact"/>
        <w:numPr>
          <w:ilvl w:val="0"/>
          <w:numId w:val="1003"/>
        </w:numPr>
      </w:pPr>
      <w:r>
        <w:t xml:space="preserve">Known drivers are supported by data or account-owner confirmation.</w:t>
      </w:r>
    </w:p>
    <w:p>
      <w:pPr>
        <w:pStyle w:val="Compact"/>
        <w:numPr>
          <w:ilvl w:val="0"/>
          <w:numId w:val="1003"/>
        </w:numPr>
      </w:pPr>
      <w:r>
        <w:t xml:space="preserve">Timing differences are identified where relevant.</w:t>
      </w:r>
    </w:p>
    <w:p>
      <w:pPr>
        <w:pStyle w:val="Compact"/>
        <w:numPr>
          <w:ilvl w:val="0"/>
          <w:numId w:val="1003"/>
        </w:numPr>
      </w:pPr>
      <w:r>
        <w:t xml:space="preserve">Accrual, cutoff, reclass, or coding issues are considered.</w:t>
      </w:r>
    </w:p>
    <w:bookmarkEnd w:id="22"/>
    <w:bookmarkStart w:id="23" w:name="management-reporting"/>
    <w:p>
      <w:pPr>
        <w:pStyle w:val="Heading2"/>
      </w:pPr>
      <w:r>
        <w:t xml:space="preserve">Management Reporting</w:t>
      </w:r>
    </w:p>
    <w:p>
      <w:pPr>
        <w:pStyle w:val="Compact"/>
        <w:numPr>
          <w:ilvl w:val="0"/>
          <w:numId w:val="1004"/>
        </w:numPr>
      </w:pPr>
      <w:r>
        <w:t xml:space="preserve">Commentary is concise and management-ready.</w:t>
      </w:r>
    </w:p>
    <w:p>
      <w:pPr>
        <w:pStyle w:val="Compact"/>
        <w:numPr>
          <w:ilvl w:val="0"/>
          <w:numId w:val="1004"/>
        </w:numPr>
      </w:pPr>
      <w:r>
        <w:t xml:space="preserve">EBITDA, margin, or cash impact is identified where relevant.</w:t>
      </w:r>
    </w:p>
    <w:p>
      <w:pPr>
        <w:pStyle w:val="Compact"/>
        <w:numPr>
          <w:ilvl w:val="0"/>
          <w:numId w:val="1004"/>
        </w:numPr>
      </w:pPr>
      <w:r>
        <w:t xml:space="preserve">Nonrecurring items are clearly labeled.</w:t>
      </w:r>
    </w:p>
    <w:p>
      <w:pPr>
        <w:pStyle w:val="Compact"/>
        <w:numPr>
          <w:ilvl w:val="0"/>
          <w:numId w:val="1004"/>
        </w:numPr>
      </w:pPr>
      <w:r>
        <w:t xml:space="preserve">Recurring trends are identified.</w:t>
      </w:r>
    </w:p>
    <w:bookmarkEnd w:id="23"/>
    <w:bookmarkStart w:id="24" w:name="review-and-sign-off"/>
    <w:p>
      <w:pPr>
        <w:pStyle w:val="Heading2"/>
      </w:pPr>
      <w:r>
        <w:t xml:space="preserve">Review and Sign-Off</w:t>
      </w:r>
    </w:p>
    <w:p>
      <w:pPr>
        <w:pStyle w:val="Compact"/>
        <w:numPr>
          <w:ilvl w:val="0"/>
          <w:numId w:val="1005"/>
        </w:numPr>
      </w:pPr>
      <w:r>
        <w:t xml:space="preserve">Questions for account owners are documented.</w:t>
      </w:r>
    </w:p>
    <w:p>
      <w:pPr>
        <w:pStyle w:val="Compact"/>
        <w:numPr>
          <w:ilvl w:val="0"/>
          <w:numId w:val="1005"/>
        </w:numPr>
      </w:pPr>
      <w:r>
        <w:t xml:space="preserve">Open items are assigned.</w:t>
      </w:r>
    </w:p>
    <w:p>
      <w:pPr>
        <w:pStyle w:val="Compact"/>
        <w:numPr>
          <w:ilvl w:val="0"/>
          <w:numId w:val="1005"/>
        </w:numPr>
      </w:pPr>
      <w:r>
        <w:t xml:space="preserve">Final commentary was reviewed by accounting or finance.</w:t>
      </w:r>
    </w:p>
    <w:p>
      <w:pPr>
        <w:pStyle w:val="Compact"/>
        <w:numPr>
          <w:ilvl w:val="0"/>
          <w:numId w:val="1005"/>
        </w:numPr>
      </w:pPr>
      <w:r>
        <w:t xml:space="preserve">AI-generated output was not used without human review.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2026-07-15T16:41:03Z</dcterms:created>
  <dcterms:modified xsi:type="dcterms:W3CDTF">2026-07-15T16:41:03Z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