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fo-commentary-style-guide"/>
    <w:p>
      <w:pPr>
        <w:pStyle w:val="Heading1"/>
      </w:pPr>
      <w:r>
        <w:t xml:space="preserve">CFO Commentary Style Guide</w:t>
      </w:r>
    </w:p>
    <w:p>
      <w:pPr>
        <w:pStyle w:val="FirstParagraph"/>
      </w:pPr>
      <w:r>
        <w:t xml:space="preserve">Variance commentary should be concise, factual, and management-ready.</w:t>
      </w:r>
    </w:p>
    <w:bookmarkStart w:id="20" w:name="preferred-style"/>
    <w:p>
      <w:pPr>
        <w:pStyle w:val="Heading2"/>
      </w:pPr>
      <w:r>
        <w:t xml:space="preserve">Preferred Style</w:t>
      </w:r>
    </w:p>
    <w:p>
      <w:pPr>
        <w:pStyle w:val="FirstParagraph"/>
      </w:pPr>
      <w:r>
        <w:t xml:space="preserve">Use clear controller-style language.</w:t>
      </w:r>
    </w:p>
    <w:p>
      <w:pPr>
        <w:pStyle w:val="BodyText"/>
      </w:pPr>
      <w:r>
        <w:t xml:space="preserve">Good example:</w:t>
      </w:r>
    </w:p>
    <w:p>
      <w:pPr>
        <w:pStyle w:val="BodyText"/>
      </w:pPr>
      <w:r>
        <w:t xml:space="preserve">“Revenue exceeded budget by $85K, primarily due to higher project volume in Engineering and earlier-than-expected billing on several open matters. Management should confirm whether the increase is timing-related or expected to continue into next month.”</w:t>
      </w:r>
    </w:p>
    <w:p>
      <w:pPr>
        <w:pStyle w:val="BodyText"/>
      </w:pPr>
      <w:r>
        <w:t xml:space="preserve">Avoid vague explanations such as:</w:t>
      </w:r>
    </w:p>
    <w:p>
      <w:pPr>
        <w:pStyle w:val="BodyText"/>
      </w:pPr>
      <w:r>
        <w:t xml:space="preserve">“Revenue was higher due to business activity.”</w:t>
      </w:r>
    </w:p>
    <w:p>
      <w:pPr>
        <w:pStyle w:val="BodyText"/>
      </w:pPr>
      <w:r>
        <w:t xml:space="preserve">Avoid unsupported certainty such as:</w:t>
      </w:r>
    </w:p>
    <w:p>
      <w:pPr>
        <w:pStyle w:val="BodyText"/>
      </w:pPr>
      <w:r>
        <w:t xml:space="preserve">“Revenue increased because the sales team performed better.”</w:t>
      </w:r>
    </w:p>
    <w:p>
      <w:pPr>
        <w:pStyle w:val="BodyText"/>
      </w:pPr>
      <w:r>
        <w:t xml:space="preserve">If the driver is not confirmed, say:</w:t>
      </w:r>
    </w:p>
    <w:p>
      <w:pPr>
        <w:pStyle w:val="BodyText"/>
      </w:pPr>
      <w:r>
        <w:t xml:space="preserve">“The driver requires confirmation from the account owner.”</w:t>
      </w:r>
    </w:p>
    <w:bookmarkEnd w:id="20"/>
    <w:bookmarkStart w:id="21" w:name="commentary-structure"/>
    <w:p>
      <w:pPr>
        <w:pStyle w:val="Heading2"/>
      </w:pPr>
      <w:r>
        <w:t xml:space="preserve">Commentary Structure</w:t>
      </w:r>
    </w:p>
    <w:p>
      <w:pPr>
        <w:pStyle w:val="FirstParagraph"/>
      </w:pPr>
      <w:r>
        <w:t xml:space="preserve">Use this structure:</w:t>
      </w:r>
    </w:p>
    <w:p>
      <w:pPr>
        <w:pStyle w:val="Compact"/>
        <w:numPr>
          <w:ilvl w:val="0"/>
          <w:numId w:val="1001"/>
        </w:numPr>
      </w:pPr>
      <w:r>
        <w:t xml:space="preserve">What changed?</w:t>
      </w:r>
    </w:p>
    <w:p>
      <w:pPr>
        <w:pStyle w:val="Compact"/>
        <w:numPr>
          <w:ilvl w:val="0"/>
          <w:numId w:val="1001"/>
        </w:numPr>
      </w:pPr>
      <w:r>
        <w:t xml:space="preserve">How large is the variance?</w:t>
      </w:r>
    </w:p>
    <w:p>
      <w:pPr>
        <w:pStyle w:val="Compact"/>
        <w:numPr>
          <w:ilvl w:val="0"/>
          <w:numId w:val="1001"/>
        </w:numPr>
      </w:pPr>
      <w:r>
        <w:t xml:space="preserve">What is the likely or confirmed driver?</w:t>
      </w:r>
    </w:p>
    <w:p>
      <w:pPr>
        <w:pStyle w:val="Compact"/>
        <w:numPr>
          <w:ilvl w:val="0"/>
          <w:numId w:val="1001"/>
        </w:numPr>
      </w:pPr>
      <w:r>
        <w:t xml:space="preserve">Does it appear recurring or timing-related?</w:t>
      </w:r>
    </w:p>
    <w:p>
      <w:pPr>
        <w:pStyle w:val="Compact"/>
        <w:numPr>
          <w:ilvl w:val="0"/>
          <w:numId w:val="1001"/>
        </w:numPr>
      </w:pPr>
      <w:r>
        <w:t xml:space="preserve">Does it require follow-up?</w:t>
      </w:r>
    </w:p>
    <w:bookmarkEnd w:id="21"/>
    <w:bookmarkStart w:id="22" w:name="tone"/>
    <w:p>
      <w:pPr>
        <w:pStyle w:val="Heading2"/>
      </w:pPr>
      <w:r>
        <w:t xml:space="preserve">Tone</w:t>
      </w:r>
    </w:p>
    <w:p>
      <w:pPr>
        <w:pStyle w:val="Compact"/>
        <w:numPr>
          <w:ilvl w:val="0"/>
          <w:numId w:val="1002"/>
        </w:numPr>
      </w:pPr>
      <w:r>
        <w:t xml:space="preserve">Concise</w:t>
      </w:r>
    </w:p>
    <w:p>
      <w:pPr>
        <w:pStyle w:val="Compact"/>
        <w:numPr>
          <w:ilvl w:val="0"/>
          <w:numId w:val="1002"/>
        </w:numPr>
      </w:pPr>
      <w:r>
        <w:t xml:space="preserve">Professional</w:t>
      </w:r>
    </w:p>
    <w:p>
      <w:pPr>
        <w:pStyle w:val="Compact"/>
        <w:numPr>
          <w:ilvl w:val="0"/>
          <w:numId w:val="1002"/>
        </w:numPr>
      </w:pPr>
      <w:r>
        <w:t xml:space="preserve">Practical</w:t>
      </w:r>
    </w:p>
    <w:p>
      <w:pPr>
        <w:pStyle w:val="Compact"/>
        <w:numPr>
          <w:ilvl w:val="0"/>
          <w:numId w:val="1002"/>
        </w:numPr>
      </w:pPr>
      <w:r>
        <w:t xml:space="preserve">No hype</w:t>
      </w:r>
    </w:p>
    <w:p>
      <w:pPr>
        <w:pStyle w:val="Compact"/>
        <w:numPr>
          <w:ilvl w:val="0"/>
          <w:numId w:val="1002"/>
        </w:numPr>
      </w:pPr>
      <w:r>
        <w:t xml:space="preserve">No unnecessary jargon</w:t>
      </w:r>
    </w:p>
    <w:p>
      <w:pPr>
        <w:pStyle w:val="Compact"/>
        <w:numPr>
          <w:ilvl w:val="0"/>
          <w:numId w:val="1002"/>
        </w:numPr>
      </w:pPr>
      <w:r>
        <w:t xml:space="preserve">No unsupported conclusions</w:t>
      </w:r>
    </w:p>
    <w:bookmarkEnd w:id="22"/>
    <w:bookmarkStart w:id="23" w:name="required-language-for-unsupported-items"/>
    <w:p>
      <w:pPr>
        <w:pStyle w:val="Heading2"/>
      </w:pPr>
      <w:r>
        <w:t xml:space="preserve">Required Language for Unsupported Items</w:t>
      </w:r>
    </w:p>
    <w:p>
      <w:pPr>
        <w:pStyle w:val="FirstParagraph"/>
      </w:pPr>
      <w:r>
        <w:t xml:space="preserve">Use phrases such as:</w:t>
      </w:r>
    </w:p>
    <w:p>
      <w:pPr>
        <w:pStyle w:val="Compact"/>
        <w:numPr>
          <w:ilvl w:val="0"/>
          <w:numId w:val="1003"/>
        </w:numPr>
      </w:pPr>
      <w:r>
        <w:t xml:space="preserve">“Requires confirmation”</w:t>
      </w:r>
    </w:p>
    <w:p>
      <w:pPr>
        <w:pStyle w:val="Compact"/>
        <w:numPr>
          <w:ilvl w:val="0"/>
          <w:numId w:val="1003"/>
        </w:numPr>
      </w:pPr>
      <w:r>
        <w:t xml:space="preserve">“Possible driver”</w:t>
      </w:r>
    </w:p>
    <w:p>
      <w:pPr>
        <w:pStyle w:val="Compact"/>
        <w:numPr>
          <w:ilvl w:val="0"/>
          <w:numId w:val="1003"/>
        </w:numPr>
      </w:pPr>
      <w:r>
        <w:t xml:space="preserve">“Based on the data provided”</w:t>
      </w:r>
    </w:p>
    <w:p>
      <w:pPr>
        <w:pStyle w:val="Compact"/>
        <w:numPr>
          <w:ilvl w:val="0"/>
          <w:numId w:val="1003"/>
        </w:numPr>
      </w:pPr>
      <w:r>
        <w:t xml:space="preserve">“Support not yet provided”</w:t>
      </w:r>
    </w:p>
    <w:p>
      <w:pPr>
        <w:pStyle w:val="Compact"/>
        <w:numPr>
          <w:ilvl w:val="0"/>
          <w:numId w:val="1003"/>
        </w:numPr>
      </w:pPr>
      <w:r>
        <w:t xml:space="preserve">“Needs account-owner follow-up”</w:t>
      </w:r>
    </w:p>
    <w:p>
      <w:pPr>
        <w:pStyle w:val="Compact"/>
        <w:numPr>
          <w:ilvl w:val="0"/>
          <w:numId w:val="1003"/>
        </w:numPr>
      </w:pPr>
      <w:r>
        <w:t xml:space="preserve">“Preliminary explanation”</w:t>
      </w:r>
    </w:p>
    <w:bookmarkEnd w:id="23"/>
    <w:bookmarkStart w:id="24" w:name="final-review-standard"/>
    <w:p>
      <w:pPr>
        <w:pStyle w:val="Heading2"/>
      </w:pPr>
      <w:r>
        <w:t xml:space="preserve">Final Review Standard</w:t>
      </w:r>
    </w:p>
    <w:p>
      <w:pPr>
        <w:pStyle w:val="FirstParagraph"/>
      </w:pPr>
      <w:r>
        <w:t xml:space="preserve">Before commentary is used, confirm that:</w:t>
      </w:r>
    </w:p>
    <w:p>
      <w:pPr>
        <w:pStyle w:val="Compact"/>
        <w:numPr>
          <w:ilvl w:val="0"/>
          <w:numId w:val="1004"/>
        </w:numPr>
      </w:pPr>
      <w:r>
        <w:t xml:space="preserve">Amounts tie to the report</w:t>
      </w:r>
    </w:p>
    <w:p>
      <w:pPr>
        <w:pStyle w:val="Compact"/>
        <w:numPr>
          <w:ilvl w:val="0"/>
          <w:numId w:val="1004"/>
        </w:numPr>
      </w:pPr>
      <w:r>
        <w:t xml:space="preserve">Explanations are supported</w:t>
      </w:r>
    </w:p>
    <w:p>
      <w:pPr>
        <w:pStyle w:val="Compact"/>
        <w:numPr>
          <w:ilvl w:val="0"/>
          <w:numId w:val="1004"/>
        </w:numPr>
      </w:pPr>
      <w:r>
        <w:t xml:space="preserve">Assumptions are clearly labeled</w:t>
      </w:r>
    </w:p>
    <w:p>
      <w:pPr>
        <w:pStyle w:val="Compact"/>
        <w:numPr>
          <w:ilvl w:val="0"/>
          <w:numId w:val="1004"/>
        </w:numPr>
      </w:pPr>
      <w:r>
        <w:t xml:space="preserve">Open questions are assigned</w:t>
      </w:r>
    </w:p>
    <w:p>
      <w:pPr>
        <w:pStyle w:val="Compact"/>
        <w:numPr>
          <w:ilvl w:val="0"/>
          <w:numId w:val="1004"/>
        </w:numPr>
      </w:pPr>
      <w:r>
        <w:t xml:space="preserve">Sensitive items are escalated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2026-07-15T16:40:45Z</dcterms:created>
  <dcterms:modified xsi:type="dcterms:W3CDTF">2026-07-15T16:40:45Z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