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ad3ae30e2bb2189f4df8306a5dcf16928bbbb4"/>
    <w:p>
      <w:pPr>
        <w:pStyle w:val="Heading1"/>
      </w:pPr>
      <w:r>
        <w:t xml:space="preserve">Materiality Thresholds for Variance Review</w:t>
      </w:r>
    </w:p>
    <w:p>
      <w:pPr>
        <w:pStyle w:val="FirstParagraph"/>
      </w:pPr>
      <w:r>
        <w:t xml:space="preserve">For demo purposes, use the following thresholds.</w:t>
      </w:r>
    </w:p>
    <w:p>
      <w:pPr>
        <w:pStyle w:val="BodyText"/>
      </w:pPr>
      <w:r>
        <w:t xml:space="preserve">A variance requires explanation if it meets either of these criteria:</w:t>
      </w:r>
    </w:p>
    <w:p>
      <w:pPr>
        <w:pStyle w:val="Compact"/>
        <w:numPr>
          <w:ilvl w:val="0"/>
          <w:numId w:val="1001"/>
        </w:numPr>
      </w:pPr>
      <w:r>
        <w:t xml:space="preserve">Dollar variance is greater than or equal to $25,000; or</w:t>
      </w:r>
    </w:p>
    <w:p>
      <w:pPr>
        <w:pStyle w:val="Compact"/>
        <w:numPr>
          <w:ilvl w:val="0"/>
          <w:numId w:val="1001"/>
        </w:numPr>
      </w:pPr>
      <w:r>
        <w:t xml:space="preserve">Percentage variance is greater than or equal to 10% and dollar variance is greater than or equal to $10,000.</w:t>
      </w:r>
    </w:p>
    <w:p>
      <w:pPr>
        <w:pStyle w:val="FirstParagraph"/>
      </w:pPr>
      <w:r>
        <w:t xml:space="preserve">High-priority variances include:</w:t>
      </w:r>
    </w:p>
    <w:p>
      <w:pPr>
        <w:pStyle w:val="Compact"/>
        <w:numPr>
          <w:ilvl w:val="0"/>
          <w:numId w:val="1002"/>
        </w:numPr>
      </w:pPr>
      <w:r>
        <w:t xml:space="preserve">Revenue variance greater than $50,000</w:t>
      </w:r>
    </w:p>
    <w:p>
      <w:pPr>
        <w:pStyle w:val="Compact"/>
        <w:numPr>
          <w:ilvl w:val="0"/>
          <w:numId w:val="1002"/>
        </w:numPr>
      </w:pPr>
      <w:r>
        <w:t xml:space="preserve">Gross margin variance greater than 3 percentage points</w:t>
      </w:r>
    </w:p>
    <w:p>
      <w:pPr>
        <w:pStyle w:val="Compact"/>
        <w:numPr>
          <w:ilvl w:val="0"/>
          <w:numId w:val="1002"/>
        </w:numPr>
      </w:pPr>
      <w:r>
        <w:t xml:space="preserve">Payroll or contractor cost variance greater than $30,000</w:t>
      </w:r>
    </w:p>
    <w:p>
      <w:pPr>
        <w:pStyle w:val="Compact"/>
        <w:numPr>
          <w:ilvl w:val="0"/>
          <w:numId w:val="1002"/>
        </w:numPr>
      </w:pPr>
      <w:r>
        <w:t xml:space="preserve">Professional fees variance greater than $20,000</w:t>
      </w:r>
    </w:p>
    <w:p>
      <w:pPr>
        <w:pStyle w:val="Compact"/>
        <w:numPr>
          <w:ilvl w:val="0"/>
          <w:numId w:val="1002"/>
        </w:numPr>
      </w:pPr>
      <w:r>
        <w:t xml:space="preserve">Any unusual or nonrecurring item greater than $15,000</w:t>
      </w:r>
    </w:p>
    <w:p>
      <w:pPr>
        <w:pStyle w:val="Compact"/>
        <w:numPr>
          <w:ilvl w:val="0"/>
          <w:numId w:val="1002"/>
        </w:numPr>
      </w:pPr>
      <w:r>
        <w:t xml:space="preserve">Any variance that impacts EBITDA by more than $25,000</w:t>
      </w:r>
    </w:p>
    <w:p>
      <w:pPr>
        <w:pStyle w:val="FirstParagraph"/>
      </w:pPr>
      <w:r>
        <w:t xml:space="preserve">The reviewer may override thresholds for sensitive accounts, unusual trends, or executive reporting needs.</w:t>
      </w:r>
    </w:p>
    <w:p>
      <w:pPr>
        <w:pStyle w:val="BodyText"/>
      </w:pPr>
      <w:r>
        <w:t xml:space="preserve">Small variances may be excluded from commentary unless they indicate a trend, control issue, reclassification issue, or recurring problem.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2026-07-15T16:40:30Z</dcterms:created>
  <dcterms:modified xsi:type="dcterms:W3CDTF">2026-07-15T16:40:30Z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