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ariance-review-sop"/>
    <w:p>
      <w:pPr>
        <w:pStyle w:val="Heading1"/>
      </w:pPr>
      <w:r>
        <w:t xml:space="preserve">Variance Review SOP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the variance review process is to identify material financial statement fluctuations, understand the business drivers behind those fluctuations, and prepare concise commentary for management review.</w:t>
      </w:r>
    </w:p>
    <w:p>
      <w:pPr>
        <w:pStyle w:val="BodyText"/>
      </w:pPr>
      <w:r>
        <w:t xml:space="preserve">The variance review process should support the monthly close, management reporting, audit readiness, and financial decision-making.</w:t>
      </w:r>
    </w:p>
    <w:bookmarkEnd w:id="20"/>
    <w:bookmarkStart w:id="2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SOP applies to monthly P&amp;L variance review, including:</w:t>
      </w:r>
    </w:p>
    <w:p>
      <w:pPr>
        <w:pStyle w:val="Compact"/>
        <w:numPr>
          <w:ilvl w:val="0"/>
          <w:numId w:val="1001"/>
        </w:numPr>
      </w:pPr>
      <w:r>
        <w:t xml:space="preserve">Actual versus budget</w:t>
      </w:r>
    </w:p>
    <w:p>
      <w:pPr>
        <w:pStyle w:val="Compact"/>
        <w:numPr>
          <w:ilvl w:val="0"/>
          <w:numId w:val="1001"/>
        </w:numPr>
      </w:pPr>
      <w:r>
        <w:t xml:space="preserve">Actual versus prior month</w:t>
      </w:r>
    </w:p>
    <w:p>
      <w:pPr>
        <w:pStyle w:val="Compact"/>
        <w:numPr>
          <w:ilvl w:val="0"/>
          <w:numId w:val="1001"/>
        </w:numPr>
      </w:pPr>
      <w:r>
        <w:t xml:space="preserve">Actual versus prior year</w:t>
      </w:r>
    </w:p>
    <w:p>
      <w:pPr>
        <w:pStyle w:val="Compact"/>
        <w:numPr>
          <w:ilvl w:val="0"/>
          <w:numId w:val="1001"/>
        </w:numPr>
      </w:pPr>
      <w:r>
        <w:t xml:space="preserve">Revenue, cost of revenue, gross margin, operating expenses, EBITDA, and other management reporting categories</w:t>
      </w:r>
    </w:p>
    <w:bookmarkEnd w:id="21"/>
    <w:bookmarkStart w:id="22" w:name="standard-review-steps"/>
    <w:p>
      <w:pPr>
        <w:pStyle w:val="Heading2"/>
      </w:pPr>
      <w:r>
        <w:t xml:space="preserve">Standard Review Steps</w:t>
      </w:r>
    </w:p>
    <w:p>
      <w:pPr>
        <w:pStyle w:val="Compact"/>
        <w:numPr>
          <w:ilvl w:val="0"/>
          <w:numId w:val="1002"/>
        </w:numPr>
      </w:pPr>
      <w:r>
        <w:t xml:space="preserve">Confirm the reporting period and comparison basis.</w:t>
      </w:r>
    </w:p>
    <w:p>
      <w:pPr>
        <w:pStyle w:val="Compact"/>
        <w:numPr>
          <w:ilvl w:val="0"/>
          <w:numId w:val="1002"/>
        </w:numPr>
      </w:pPr>
      <w:r>
        <w:t xml:space="preserve">Verify that the report ties to the general ledger or approved financial reporting source.</w:t>
      </w:r>
    </w:p>
    <w:p>
      <w:pPr>
        <w:pStyle w:val="Compact"/>
        <w:numPr>
          <w:ilvl w:val="0"/>
          <w:numId w:val="1002"/>
        </w:numPr>
      </w:pPr>
      <w:r>
        <w:t xml:space="preserve">Identify material variances using approved materiality thresholds.</w:t>
      </w:r>
    </w:p>
    <w:p>
      <w:pPr>
        <w:pStyle w:val="Compact"/>
        <w:numPr>
          <w:ilvl w:val="0"/>
          <w:numId w:val="1002"/>
        </w:numPr>
      </w:pPr>
      <w:r>
        <w:t xml:space="preserve">Separate supported explanations from assumptions.</w:t>
      </w:r>
    </w:p>
    <w:p>
      <w:pPr>
        <w:pStyle w:val="Compact"/>
        <w:numPr>
          <w:ilvl w:val="0"/>
          <w:numId w:val="1002"/>
        </w:numPr>
      </w:pPr>
      <w:r>
        <w:t xml:space="preserve">Identify potential accounting issues, including timing, cutoff, accruals, reclasses, coding errors, and unusual transactions.</w:t>
      </w:r>
    </w:p>
    <w:p>
      <w:pPr>
        <w:pStyle w:val="Compact"/>
        <w:numPr>
          <w:ilvl w:val="0"/>
          <w:numId w:val="1002"/>
        </w:numPr>
      </w:pPr>
      <w:r>
        <w:t xml:space="preserve">Draft questions for account owners where the explanation is not clear.</w:t>
      </w:r>
    </w:p>
    <w:p>
      <w:pPr>
        <w:pStyle w:val="Compact"/>
        <w:numPr>
          <w:ilvl w:val="0"/>
          <w:numId w:val="1002"/>
        </w:numPr>
      </w:pPr>
      <w:r>
        <w:t xml:space="preserve">Draft concise commentary for management.</w:t>
      </w:r>
    </w:p>
    <w:p>
      <w:pPr>
        <w:pStyle w:val="Compact"/>
        <w:numPr>
          <w:ilvl w:val="0"/>
          <w:numId w:val="1002"/>
        </w:numPr>
      </w:pPr>
      <w:r>
        <w:t xml:space="preserve">Have the commentary reviewed before inclusion in close or reporting packages.</w:t>
      </w:r>
    </w:p>
    <w:bookmarkEnd w:id="22"/>
    <w:bookmarkStart w:id="23" w:name="common-variance-drivers"/>
    <w:p>
      <w:pPr>
        <w:pStyle w:val="Heading2"/>
      </w:pPr>
      <w:r>
        <w:t xml:space="preserve">Common Variance Drivers</w:t>
      </w:r>
    </w:p>
    <w:p>
      <w:pPr>
        <w:pStyle w:val="FirstParagraph"/>
      </w:pPr>
      <w:r>
        <w:t xml:space="preserve">Common explanations may include:</w:t>
      </w:r>
    </w:p>
    <w:p>
      <w:pPr>
        <w:pStyle w:val="Compact"/>
        <w:numPr>
          <w:ilvl w:val="0"/>
          <w:numId w:val="1003"/>
        </w:numPr>
      </w:pPr>
      <w:r>
        <w:t xml:space="preserve">Higher or lower sales volume</w:t>
      </w:r>
    </w:p>
    <w:p>
      <w:pPr>
        <w:pStyle w:val="Compact"/>
        <w:numPr>
          <w:ilvl w:val="0"/>
          <w:numId w:val="1003"/>
        </w:numPr>
      </w:pPr>
      <w:r>
        <w:t xml:space="preserve">Price or rate changes</w:t>
      </w:r>
    </w:p>
    <w:p>
      <w:pPr>
        <w:pStyle w:val="Compact"/>
        <w:numPr>
          <w:ilvl w:val="0"/>
          <w:numId w:val="1003"/>
        </w:numPr>
      </w:pPr>
      <w:r>
        <w:t xml:space="preserve">Customer mix</w:t>
      </w:r>
    </w:p>
    <w:p>
      <w:pPr>
        <w:pStyle w:val="Compact"/>
        <w:numPr>
          <w:ilvl w:val="0"/>
          <w:numId w:val="1003"/>
        </w:numPr>
      </w:pPr>
      <w:r>
        <w:t xml:space="preserve">Project mix</w:t>
      </w:r>
    </w:p>
    <w:p>
      <w:pPr>
        <w:pStyle w:val="Compact"/>
        <w:numPr>
          <w:ilvl w:val="0"/>
          <w:numId w:val="1003"/>
        </w:numPr>
      </w:pPr>
      <w:r>
        <w:t xml:space="preserve">Timing of revenue recognition</w:t>
      </w:r>
    </w:p>
    <w:p>
      <w:pPr>
        <w:pStyle w:val="Compact"/>
        <w:numPr>
          <w:ilvl w:val="0"/>
          <w:numId w:val="1003"/>
        </w:numPr>
      </w:pPr>
      <w:r>
        <w:t xml:space="preserve">One-time revenue or expense items</w:t>
      </w:r>
    </w:p>
    <w:p>
      <w:pPr>
        <w:pStyle w:val="Compact"/>
        <w:numPr>
          <w:ilvl w:val="0"/>
          <w:numId w:val="1003"/>
        </w:numPr>
      </w:pPr>
      <w:r>
        <w:t xml:space="preserve">Accrual timing</w:t>
      </w:r>
    </w:p>
    <w:p>
      <w:pPr>
        <w:pStyle w:val="Compact"/>
        <w:numPr>
          <w:ilvl w:val="0"/>
          <w:numId w:val="1003"/>
        </w:numPr>
      </w:pPr>
      <w:r>
        <w:t xml:space="preserve">Missing or duplicate accruals</w:t>
      </w:r>
    </w:p>
    <w:p>
      <w:pPr>
        <w:pStyle w:val="Compact"/>
        <w:numPr>
          <w:ilvl w:val="0"/>
          <w:numId w:val="1003"/>
        </w:numPr>
      </w:pPr>
      <w:r>
        <w:t xml:space="preserve">Expense cutoff issues</w:t>
      </w:r>
    </w:p>
    <w:p>
      <w:pPr>
        <w:pStyle w:val="Compact"/>
        <w:numPr>
          <w:ilvl w:val="0"/>
          <w:numId w:val="1003"/>
        </w:numPr>
      </w:pPr>
      <w:r>
        <w:t xml:space="preserve">Reclasses between accounts</w:t>
      </w:r>
    </w:p>
    <w:p>
      <w:pPr>
        <w:pStyle w:val="Compact"/>
        <w:numPr>
          <w:ilvl w:val="0"/>
          <w:numId w:val="1003"/>
        </w:numPr>
      </w:pPr>
      <w:r>
        <w:t xml:space="preserve">Department or project coding errors</w:t>
      </w:r>
    </w:p>
    <w:p>
      <w:pPr>
        <w:pStyle w:val="Compact"/>
        <w:numPr>
          <w:ilvl w:val="0"/>
          <w:numId w:val="1003"/>
        </w:numPr>
      </w:pPr>
      <w:r>
        <w:t xml:space="preserve">Headcount changes</w:t>
      </w:r>
    </w:p>
    <w:p>
      <w:pPr>
        <w:pStyle w:val="Compact"/>
        <w:numPr>
          <w:ilvl w:val="0"/>
          <w:numId w:val="1003"/>
        </w:numPr>
      </w:pPr>
      <w:r>
        <w:t xml:space="preserve">Bonus, commission, or payroll timing</w:t>
      </w:r>
    </w:p>
    <w:p>
      <w:pPr>
        <w:pStyle w:val="Compact"/>
        <w:numPr>
          <w:ilvl w:val="0"/>
          <w:numId w:val="1003"/>
        </w:numPr>
      </w:pPr>
      <w:r>
        <w:t xml:space="preserve">Vendor price changes</w:t>
      </w:r>
    </w:p>
    <w:p>
      <w:pPr>
        <w:pStyle w:val="Compact"/>
        <w:numPr>
          <w:ilvl w:val="0"/>
          <w:numId w:val="1003"/>
        </w:numPr>
      </w:pPr>
      <w:r>
        <w:t xml:space="preserve">Insurance renewals</w:t>
      </w:r>
    </w:p>
    <w:p>
      <w:pPr>
        <w:pStyle w:val="Compact"/>
        <w:numPr>
          <w:ilvl w:val="0"/>
          <w:numId w:val="1003"/>
        </w:numPr>
      </w:pPr>
      <w:r>
        <w:t xml:space="preserve">Legal or professional fee timing</w:t>
      </w:r>
    </w:p>
    <w:p>
      <w:pPr>
        <w:pStyle w:val="Compact"/>
        <w:numPr>
          <w:ilvl w:val="0"/>
          <w:numId w:val="1003"/>
        </w:numPr>
      </w:pPr>
      <w:r>
        <w:t xml:space="preserve">Travel or training timing</w:t>
      </w:r>
    </w:p>
    <w:p>
      <w:pPr>
        <w:pStyle w:val="Compact"/>
        <w:numPr>
          <w:ilvl w:val="0"/>
          <w:numId w:val="1003"/>
        </w:numPr>
      </w:pPr>
      <w:r>
        <w:t xml:space="preserve">Depreciation or amortization changes</w:t>
      </w:r>
    </w:p>
    <w:bookmarkEnd w:id="23"/>
    <w:bookmarkStart w:id="24" w:name="control-expectations"/>
    <w:p>
      <w:pPr>
        <w:pStyle w:val="Heading2"/>
      </w:pPr>
      <w:r>
        <w:t xml:space="preserve">Control Expectations</w:t>
      </w:r>
    </w:p>
    <w:p>
      <w:pPr>
        <w:pStyle w:val="FirstParagraph"/>
      </w:pPr>
      <w:r>
        <w:t xml:space="preserve">Variance explanations should be supported by source data, account-owner confirmation, or documented analysis.</w:t>
      </w:r>
    </w:p>
    <w:p>
      <w:pPr>
        <w:pStyle w:val="BodyText"/>
      </w:pPr>
      <w:r>
        <w:t xml:space="preserve">Unsupported explanations should be labeled as assumptions or open questions.</w:t>
      </w:r>
    </w:p>
    <w:p>
      <w:pPr>
        <w:pStyle w:val="BodyText"/>
      </w:pPr>
      <w:r>
        <w:t xml:space="preserve">AI-generated commentary may be used as a first draft, but it must be reviewed by accounting or finance before use.</w:t>
      </w:r>
    </w:p>
    <w:bookmarkEnd w:id="24"/>
    <w:bookmarkStart w:id="25" w:name="final-deliverable"/>
    <w:p>
      <w:pPr>
        <w:pStyle w:val="Heading2"/>
      </w:pPr>
      <w:r>
        <w:t xml:space="preserve">Final Deliverable</w:t>
      </w:r>
    </w:p>
    <w:p>
      <w:pPr>
        <w:pStyle w:val="FirstParagraph"/>
      </w:pPr>
      <w:r>
        <w:t xml:space="preserve">The final variance review should include:</w:t>
      </w:r>
    </w:p>
    <w:p>
      <w:pPr>
        <w:pStyle w:val="Compact"/>
        <w:numPr>
          <w:ilvl w:val="0"/>
          <w:numId w:val="1004"/>
        </w:numPr>
      </w:pPr>
      <w:r>
        <w:t xml:space="preserve">Summary of material variances</w:t>
      </w:r>
    </w:p>
    <w:p>
      <w:pPr>
        <w:pStyle w:val="Compact"/>
        <w:numPr>
          <w:ilvl w:val="0"/>
          <w:numId w:val="1004"/>
        </w:numPr>
      </w:pPr>
      <w:r>
        <w:t xml:space="preserve">Explanation of known drivers</w:t>
      </w:r>
    </w:p>
    <w:p>
      <w:pPr>
        <w:pStyle w:val="Compact"/>
        <w:numPr>
          <w:ilvl w:val="0"/>
          <w:numId w:val="1004"/>
        </w:numPr>
      </w:pPr>
      <w:r>
        <w:t xml:space="preserve">Open questions</w:t>
      </w:r>
    </w:p>
    <w:p>
      <w:pPr>
        <w:pStyle w:val="Compact"/>
        <w:numPr>
          <w:ilvl w:val="0"/>
          <w:numId w:val="1004"/>
        </w:numPr>
      </w:pPr>
      <w:r>
        <w:t xml:space="preserve">Items needing support</w:t>
      </w:r>
    </w:p>
    <w:p>
      <w:pPr>
        <w:pStyle w:val="Compact"/>
        <w:numPr>
          <w:ilvl w:val="0"/>
          <w:numId w:val="1004"/>
        </w:numPr>
      </w:pPr>
      <w:r>
        <w:t xml:space="preserve">Management-ready commentary</w:t>
      </w:r>
    </w:p>
    <w:p>
      <w:pPr>
        <w:pStyle w:val="Compact"/>
        <w:numPr>
          <w:ilvl w:val="0"/>
          <w:numId w:val="1004"/>
        </w:numPr>
      </w:pPr>
      <w:r>
        <w:t xml:space="preserve">Reviewer checklist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2026-07-15T16:40:10Z</dcterms:created>
  <dcterms:modified xsi:type="dcterms:W3CDTF">2026-07-15T16:40:10Z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