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center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48"/>
          <w:szCs w:val="4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48"/>
          <w:szCs w:val="48"/>
          <w:lang w:val="en-US" w:eastAsia="zh-CN"/>
        </w:rPr>
        <w:t>天津大学仁爱学院计科二班</w:t>
      </w: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ind w:left="2100" w:leftChars="0" w:firstLine="420" w:firstLineChars="0"/>
        <w:rPr>
          <w:rFonts w:hint="eastAsia" w:cstheme="minorBidi"/>
          <w:b/>
          <w:bCs/>
          <w:color w:val="auto"/>
          <w:kern w:val="2"/>
          <w:sz w:val="52"/>
          <w:szCs w:val="52"/>
          <w:lang w:val="en-US" w:eastAsia="zh-CN"/>
        </w:rPr>
      </w:pPr>
      <w:r>
        <w:rPr>
          <w:rFonts w:hint="eastAsia" w:cstheme="minorBidi"/>
          <w:b/>
          <w:bCs/>
          <w:color w:val="auto"/>
          <w:kern w:val="2"/>
          <w:sz w:val="52"/>
          <w:szCs w:val="52"/>
          <w:lang w:val="en-US" w:eastAsia="zh-CN"/>
        </w:rPr>
        <w:t>计算器首次实例</w:t>
      </w:r>
    </w:p>
    <w:p>
      <w:pPr>
        <w:jc w:val="left"/>
        <w:rPr>
          <w:rFonts w:hint="default" w:cstheme="minorBidi"/>
          <w:b/>
          <w:bCs/>
          <w:color w:val="auto"/>
          <w:kern w:val="2"/>
          <w:sz w:val="52"/>
          <w:szCs w:val="52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right"/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/>
        </w:rPr>
      </w:pPr>
      <w:r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/>
        </w:rPr>
        <w:t>组员：马学涛，聂子涵，邵利卿，宋富国</w:t>
      </w:r>
    </w:p>
    <w:p>
      <w:pPr>
        <w:jc w:val="right"/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/>
        </w:rPr>
      </w:pPr>
      <w:r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/>
        </w:rPr>
        <w:t>2019.3.24</w:t>
      </w:r>
    </w:p>
    <w:p>
      <w:pPr>
        <w:jc w:val="center"/>
        <w:rPr>
          <w:rFonts w:hint="default" w:cstheme="minorBidi"/>
          <w:b/>
          <w:bCs/>
          <w:color w:val="auto"/>
          <w:kern w:val="2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07477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"_Toc4267166" </w:instrText>
          </w:r>
          <w:r>
            <w:fldChar w:fldCharType="separate"/>
          </w:r>
          <w:r>
            <w:rPr>
              <w:rStyle w:val="11"/>
              <w:rFonts w:hint="eastAsia"/>
            </w:rPr>
            <w:t>一、</w:t>
          </w:r>
          <w:r>
            <w:tab/>
          </w:r>
          <w:r>
            <w:rPr>
              <w:rStyle w:val="11"/>
              <w:rFonts w:hint="eastAsia"/>
            </w:rPr>
            <w:t>导言</w:t>
          </w:r>
          <w:r>
            <w:tab/>
          </w:r>
          <w:r>
            <w:fldChar w:fldCharType="begin"/>
          </w:r>
          <w:r>
            <w:instrText xml:space="preserve"> PAGEREF _Toc4267166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"_Toc4267167" </w:instrText>
          </w:r>
          <w:r>
            <w:fldChar w:fldCharType="separate"/>
          </w:r>
          <w:r>
            <w:rPr>
              <w:rStyle w:val="11"/>
            </w:rPr>
            <w:t>1</w:t>
          </w:r>
          <w:r>
            <w:rPr>
              <w:rStyle w:val="11"/>
              <w:rFonts w:hint="eastAsia"/>
            </w:rPr>
            <w:t>、编写目的</w:t>
          </w:r>
          <w:r>
            <w:tab/>
          </w:r>
          <w:r>
            <w:fldChar w:fldCharType="begin"/>
          </w:r>
          <w:r>
            <w:instrText xml:space="preserve"> PAGEREF _Toc4267167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"_Toc4267168"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rPr>
              <w:rStyle w:val="11"/>
              <w:rFonts w:hint="eastAsia"/>
            </w:rPr>
            <w:t>、背景</w:t>
          </w:r>
          <w:r>
            <w:tab/>
          </w:r>
          <w:r>
            <w:fldChar w:fldCharType="begin"/>
          </w:r>
          <w:r>
            <w:instrText xml:space="preserve"> PAGEREF _Toc4267168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"_Toc4267169" </w:instrText>
          </w:r>
          <w:r>
            <w:fldChar w:fldCharType="separate"/>
          </w:r>
          <w:r>
            <w:rPr>
              <w:rStyle w:val="11"/>
              <w:rFonts w:hint="eastAsia"/>
            </w:rPr>
            <w:t>二、</w:t>
          </w:r>
          <w:r>
            <w:tab/>
          </w:r>
          <w:r>
            <w:rPr>
              <w:rStyle w:val="11"/>
              <w:rFonts w:hint="eastAsia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_Toc4267169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"_Toc4267170" </w:instrText>
          </w:r>
          <w:r>
            <w:fldChar w:fldCharType="separate"/>
          </w:r>
          <w:r>
            <w:rPr>
              <w:rStyle w:val="11"/>
            </w:rPr>
            <w:t>1</w:t>
          </w:r>
          <w:r>
            <w:rPr>
              <w:rStyle w:val="11"/>
              <w:rFonts w:hint="eastAsia"/>
            </w:rPr>
            <w:t>、系统概要</w:t>
          </w:r>
          <w:r>
            <w:tab/>
          </w:r>
          <w:r>
            <w:fldChar w:fldCharType="begin"/>
          </w:r>
          <w:r>
            <w:instrText xml:space="preserve"> PAGEREF _Toc4267170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"_Toc4267171"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rPr>
              <w:rStyle w:val="11"/>
              <w:rFonts w:hint="eastAsia"/>
            </w:rPr>
            <w:t>、设计策略</w:t>
          </w:r>
          <w:r>
            <w:tab/>
          </w:r>
          <w:r>
            <w:fldChar w:fldCharType="begin"/>
          </w:r>
          <w:r>
            <w:instrText xml:space="preserve"> PAGEREF _Toc4267171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"_Toc4267172" </w:instrText>
          </w:r>
          <w:r>
            <w:fldChar w:fldCharType="separate"/>
          </w:r>
          <w:r>
            <w:rPr>
              <w:rStyle w:val="11"/>
              <w:rFonts w:hint="eastAsia"/>
            </w:rPr>
            <w:t>三、功能设计</w:t>
          </w:r>
          <w:r>
            <w:tab/>
          </w:r>
          <w:r>
            <w:fldChar w:fldCharType="begin"/>
          </w:r>
          <w:r>
            <w:instrText xml:space="preserve"> PAGEREF _Toc4267172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"_Toc4267173" </w:instrText>
          </w:r>
          <w:r>
            <w:fldChar w:fldCharType="separate"/>
          </w:r>
          <w:r>
            <w:rPr>
              <w:rStyle w:val="11"/>
            </w:rPr>
            <w:t>1</w:t>
          </w:r>
          <w:r>
            <w:rPr>
              <w:rStyle w:val="11"/>
              <w:rFonts w:hint="eastAsia"/>
            </w:rPr>
            <w:t>、用户使用</w:t>
          </w:r>
          <w:r>
            <w:tab/>
          </w:r>
          <w:r>
            <w:fldChar w:fldCharType="begin"/>
          </w:r>
          <w:r>
            <w:instrText xml:space="preserve"> PAGEREF _Toc4267173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"_Toc4267174"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rPr>
              <w:rStyle w:val="11"/>
              <w:rFonts w:hint="eastAsia"/>
            </w:rPr>
            <w:t>、按钮功能</w:t>
          </w:r>
          <w:r>
            <w:tab/>
          </w:r>
          <w:r>
            <w:fldChar w:fldCharType="begin"/>
          </w:r>
          <w:r>
            <w:instrText xml:space="preserve"> PAGEREF _Toc4267174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"_Toc4267175" </w:instrText>
          </w:r>
          <w:r>
            <w:fldChar w:fldCharType="separate"/>
          </w:r>
          <w:r>
            <w:rPr>
              <w:rStyle w:val="11"/>
            </w:rPr>
            <w:t>3</w:t>
          </w:r>
          <w:r>
            <w:rPr>
              <w:rStyle w:val="11"/>
              <w:rFonts w:hint="eastAsia"/>
            </w:rPr>
            <w:t>、计算功能</w:t>
          </w:r>
          <w:r>
            <w:tab/>
          </w:r>
          <w:r>
            <w:fldChar w:fldCharType="begin"/>
          </w:r>
          <w:r>
            <w:instrText xml:space="preserve"> PAGEREF _Toc4267175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</w:p>
    <w:p>
      <w:pPr>
        <w:rPr>
          <w:kern w:val="44"/>
          <w:sz w:val="44"/>
          <w:szCs w:val="44"/>
        </w:rPr>
      </w:pPr>
      <w:r>
        <w:br w:type="page"/>
      </w:r>
    </w:p>
    <w:p>
      <w:pPr>
        <w:pStyle w:val="2"/>
        <w:numPr>
          <w:ilvl w:val="0"/>
          <w:numId w:val="1"/>
        </w:numPr>
        <w:rPr>
          <w:kern w:val="44"/>
          <w:sz w:val="44"/>
          <w:szCs w:val="44"/>
        </w:rPr>
      </w:pPr>
      <w:bookmarkStart w:id="0" w:name="_Toc4267166"/>
      <w:r>
        <w:rPr>
          <w:rFonts w:hint="eastAsia"/>
        </w:rPr>
        <w:t>导言</w:t>
      </w:r>
      <w:bookmarkEnd w:id="0"/>
    </w:p>
    <w:p>
      <w:pPr>
        <w:pStyle w:val="3"/>
      </w:pPr>
      <w:bookmarkStart w:id="1" w:name="_Toc4267167"/>
      <w:r>
        <w:rPr>
          <w:rFonts w:hint="eastAsia"/>
        </w:rPr>
        <w:t>1、编写目的</w:t>
      </w:r>
      <w:bookmarkEnd w:id="1"/>
    </w:p>
    <w:p>
      <w:r>
        <w:rPr>
          <w:rFonts w:hint="eastAsia"/>
        </w:rPr>
        <w:t>为了完成老师的第一次课下实践任务，本小组集体设计计算器。</w:t>
      </w:r>
    </w:p>
    <w:p>
      <w:pPr>
        <w:pStyle w:val="3"/>
      </w:pPr>
      <w:bookmarkStart w:id="2" w:name="_Toc4267168"/>
      <w:r>
        <w:rPr>
          <w:rFonts w:hint="eastAsia"/>
        </w:rPr>
        <w:t>2、背景</w:t>
      </w:r>
      <w:bookmarkEnd w:id="2"/>
    </w:p>
    <w:p>
      <w:r>
        <w:rPr>
          <w:rFonts w:hint="eastAsia"/>
        </w:rPr>
        <w:t>设计出一款简易计算器，可以实现一些简单的计算功能。</w:t>
      </w:r>
    </w:p>
    <w:p>
      <w:pPr>
        <w:pStyle w:val="2"/>
        <w:numPr>
          <w:ilvl w:val="0"/>
          <w:numId w:val="1"/>
        </w:numPr>
      </w:pPr>
      <w:bookmarkStart w:id="3" w:name="_Toc4267169"/>
      <w:r>
        <w:rPr>
          <w:rFonts w:hint="eastAsia"/>
        </w:rPr>
        <w:t>总体设计</w:t>
      </w:r>
      <w:bookmarkEnd w:id="3"/>
    </w:p>
    <w:p>
      <w:pPr>
        <w:pStyle w:val="3"/>
      </w:pPr>
      <w:bookmarkStart w:id="4" w:name="_Toc4267170"/>
      <w:r>
        <w:rPr>
          <w:rFonts w:hint="eastAsia"/>
        </w:rPr>
        <w:t>1、系统概要</w:t>
      </w:r>
      <w:bookmarkEnd w:id="4"/>
    </w:p>
    <w:p>
      <w:r>
        <w:rPr>
          <w:rFonts w:hint="eastAsia"/>
        </w:rPr>
        <w:t>设计一款最简单的计算器，可以实现加减乘除、乘方、括号、小数点，而且按照优先级为乘除〉加减，同级运算按照从左向右的顺序计算。</w:t>
      </w:r>
    </w:p>
    <w:p>
      <w:pPr>
        <w:pStyle w:val="3"/>
      </w:pPr>
      <w:bookmarkStart w:id="5" w:name="_Toc4267171"/>
      <w:r>
        <w:rPr>
          <w:rFonts w:hint="eastAsia"/>
        </w:rPr>
        <w:t>2、设计策略</w:t>
      </w:r>
      <w:bookmarkEnd w:id="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计算器中数字需要包括“0123456789”，小数点为“.”，简单运算符包括加“+”、减“-”、乘“*”、除“/”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并进行简单的高级函数运算。</w:t>
      </w:r>
    </w:p>
    <w:p>
      <w:r>
        <w:rPr>
          <w:rFonts w:hint="eastAsia"/>
        </w:rPr>
        <w:t>需要从</w:t>
      </w:r>
      <w:r>
        <w:rPr>
          <w:rFonts w:hint="eastAsia"/>
          <w:lang w:val="en-US" w:eastAsia="zh-CN"/>
        </w:rPr>
        <w:t>运行界面按键进行</w:t>
      </w:r>
      <w:r>
        <w:rPr>
          <w:rFonts w:hint="eastAsia"/>
        </w:rPr>
        <w:t>输入，不能通过键盘输入。输入时可以对多输入的数字进行删除，也可以将输入的数字的正负进行修改，有归零功能。</w:t>
      </w:r>
    </w:p>
    <w:p>
      <w:pPr>
        <w:pStyle w:val="2"/>
      </w:pPr>
      <w:bookmarkStart w:id="6" w:name="_Toc4267172"/>
      <w:r>
        <w:rPr>
          <w:rFonts w:hint="eastAsia"/>
          <w:b w:val="0"/>
          <w:bCs w:val="0"/>
        </w:rPr>
        <w:t>三、</w:t>
      </w:r>
      <w:r>
        <w:rPr>
          <w:rFonts w:hint="eastAsia"/>
        </w:rPr>
        <w:t>功能设计</w:t>
      </w:r>
      <w:bookmarkEnd w:id="6"/>
    </w:p>
    <w:p>
      <w:pPr>
        <w:pStyle w:val="3"/>
      </w:pPr>
      <w:bookmarkStart w:id="7" w:name="_Toc4267173"/>
      <w:r>
        <w:rPr>
          <w:rFonts w:hint="eastAsia"/>
        </w:rPr>
        <w:t>1、用户使用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用户点开计算器后，可以直接点击按钮进行计算，计算器中包含最简单的加减乘除以及</w:t>
      </w:r>
      <w:r>
        <w:rPr>
          <w:rFonts w:hint="eastAsia"/>
          <w:lang w:val="en-US" w:eastAsia="zh-CN"/>
        </w:rPr>
        <w:t>高级运算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计算结果可保留3位小数，如果位数超出12位，可用科学记数法表示。</w:t>
      </w:r>
    </w:p>
    <w:p/>
    <w:p>
      <w:pPr>
        <w:pStyle w:val="3"/>
      </w:pPr>
      <w:bookmarkStart w:id="8" w:name="_Toc4267174"/>
      <w:r>
        <w:rPr>
          <w:rFonts w:hint="eastAsia"/>
        </w:rPr>
        <w:t>2、按钮功能</w:t>
      </w:r>
      <w:bookmarkEnd w:id="8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①点击数字进行数字的输入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②点击运算符可进行相关的运算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③点击“查看出版团队”按钮可以查看团队内成员名字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④点击“高级”按钮可以进行一些高级运算，其中包括三角函数、开方、对数以及圆周率π</w:t>
      </w:r>
      <w:r>
        <w:rPr>
          <w:rFonts w:hint="eastAsia"/>
          <w:lang w:val="en-US" w:eastAsia="zh-CN"/>
        </w:rPr>
        <w:t>等。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⑤点击“CE”按钮可以实现归零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eastAsia="zh-CN"/>
        </w:rPr>
        <w:t>⑥</w:t>
      </w:r>
      <w:r>
        <w:rPr>
          <w:rFonts w:hint="eastAsia"/>
          <w:lang w:val="en-US" w:eastAsia="zh-CN"/>
        </w:rPr>
        <w:t>点击“←”可以删去最后一位数字。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9" w:name="_Toc4267175"/>
      <w:bookmarkStart w:id="10" w:name="_GoBack"/>
      <w:bookmarkEnd w:id="10"/>
      <w:r>
        <w:rPr>
          <w:rFonts w:hint="eastAsia"/>
        </w:rPr>
        <w:t>3、计算功能</w:t>
      </w:r>
      <w:bookmarkEnd w:id="9"/>
    </w:p>
    <w:p>
      <w:pPr>
        <w:pStyle w:val="15"/>
        <w:ind w:firstLine="0" w:firstLineChars="0"/>
      </w:pPr>
      <w:r>
        <w:rPr>
          <w:rFonts w:hint="eastAsia"/>
        </w:rPr>
        <w:t>用户点击数字运算符得出结果之后，如果点击运算符可以继续计算；如果得出结果之后直接点击数字，计算器可以实现自动归零并且输入新点击的数字。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D7213"/>
    <w:multiLevelType w:val="multilevel"/>
    <w:tmpl w:val="6E2D7213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17"/>
    <w:rsid w:val="00276E7E"/>
    <w:rsid w:val="00421726"/>
    <w:rsid w:val="005F205A"/>
    <w:rsid w:val="0068199C"/>
    <w:rsid w:val="00685C87"/>
    <w:rsid w:val="006953BC"/>
    <w:rsid w:val="007E342C"/>
    <w:rsid w:val="008778FB"/>
    <w:rsid w:val="00AC7857"/>
    <w:rsid w:val="00D334F5"/>
    <w:rsid w:val="00DB08B7"/>
    <w:rsid w:val="00DD3D17"/>
    <w:rsid w:val="00E40D43"/>
    <w:rsid w:val="00EF06F2"/>
    <w:rsid w:val="00FF6C9B"/>
    <w:rsid w:val="3EF25EAD"/>
    <w:rsid w:val="5BC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paragraph" w:styleId="6">
    <w:name w:val="footnote text"/>
    <w:basedOn w:val="1"/>
    <w:semiHidden/>
    <w:unhideWhenUsed/>
    <w:uiPriority w:val="99"/>
    <w:pPr>
      <w:snapToGrid w:val="0"/>
      <w:jc w:val="left"/>
    </w:pPr>
    <w:rPr>
      <w:sz w:val="18"/>
    </w:rPr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footnote reference"/>
    <w:basedOn w:val="10"/>
    <w:semiHidden/>
    <w:unhideWhenUsed/>
    <w:uiPriority w:val="99"/>
    <w:rPr>
      <w:vertAlign w:val="superscript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7">
    <w:name w:val="批注框文本 Char"/>
    <w:basedOn w:val="10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C8DA98-3D8F-4B11-A599-EDECF1037E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190</Words>
  <Characters>1086</Characters>
  <Lines>9</Lines>
  <Paragraphs>2</Paragraphs>
  <TotalTime>7</TotalTime>
  <ScaleCrop>false</ScaleCrop>
  <LinksUpToDate>false</LinksUpToDate>
  <CharactersWithSpaces>1274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2019-03-23T07:53:00Z</dcterms:created>
  <dc:creator>鱼柒ace</dc:creator>
  <cp:lastModifiedBy>涛涛</cp:lastModifiedBy>
  <dcterms:modified xsi:type="dcterms:W3CDTF">2019-03-24T14:50:39Z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