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BA18" w14:textId="77777777" w:rsidR="00CF6923" w:rsidRPr="00FB57CE" w:rsidRDefault="00CF6923" w:rsidP="00583AA0">
      <w:pPr>
        <w:jc w:val="center"/>
        <w:rPr>
          <w:rFonts w:ascii="宋体" w:eastAsia="宋体" w:hAnsi="宋体" w:hint="eastAsia"/>
          <w:b/>
          <w:sz w:val="24"/>
        </w:rPr>
      </w:pPr>
      <w:r w:rsidRPr="00FB57CE">
        <w:rPr>
          <w:rFonts w:ascii="宋体" w:eastAsia="宋体" w:hAnsi="宋体"/>
          <w:b/>
          <w:sz w:val="24"/>
        </w:rPr>
        <w:t>油田智能开发研究进展：基于文献计量的双核驱动模式分析</w:t>
      </w:r>
    </w:p>
    <w:p w14:paraId="44C65CC0" w14:textId="1ECA19A8" w:rsidR="00583AA0" w:rsidRDefault="00583AA0" w:rsidP="00583AA0">
      <w:pPr>
        <w:jc w:val="center"/>
        <w:rPr>
          <w:rFonts w:ascii="宋体" w:eastAsia="宋体" w:hAnsi="宋体" w:hint="eastAsia"/>
          <w:sz w:val="24"/>
        </w:rPr>
      </w:pPr>
      <w:proofErr w:type="gramStart"/>
      <w:r>
        <w:rPr>
          <w:rFonts w:ascii="宋体" w:eastAsia="宋体" w:hAnsi="宋体" w:hint="eastAsia"/>
          <w:sz w:val="24"/>
        </w:rPr>
        <w:t>杨俊翔</w:t>
      </w:r>
      <w:proofErr w:type="gramEnd"/>
      <w:r w:rsidRPr="00583AA0">
        <w:rPr>
          <w:rFonts w:ascii="宋体" w:eastAsia="宋体" w:hAnsi="宋体" w:hint="eastAsia"/>
          <w:sz w:val="24"/>
          <w:vertAlign w:val="superscript"/>
        </w:rPr>
        <w:t>1</w:t>
      </w:r>
      <w:r>
        <w:rPr>
          <w:rFonts w:ascii="宋体" w:eastAsia="宋体" w:hAnsi="宋体" w:hint="eastAsia"/>
          <w:sz w:val="24"/>
        </w:rPr>
        <w:t>，马新成</w:t>
      </w:r>
      <w:r w:rsidRPr="00583AA0">
        <w:rPr>
          <w:rFonts w:ascii="宋体" w:eastAsia="宋体" w:hAnsi="宋体" w:hint="eastAsia"/>
          <w:sz w:val="24"/>
          <w:vertAlign w:val="superscript"/>
        </w:rPr>
        <w:t>2</w:t>
      </w:r>
      <w:r>
        <w:rPr>
          <w:rFonts w:ascii="宋体" w:eastAsia="宋体" w:hAnsi="宋体" w:hint="eastAsia"/>
          <w:sz w:val="24"/>
        </w:rPr>
        <w:t>，李飞</w:t>
      </w:r>
      <w:r>
        <w:rPr>
          <w:rFonts w:ascii="宋体" w:eastAsia="宋体" w:hAnsi="宋体"/>
          <w:sz w:val="24"/>
          <w:vertAlign w:val="superscript"/>
        </w:rPr>
        <w:t>3</w:t>
      </w:r>
      <w:r>
        <w:rPr>
          <w:rFonts w:ascii="宋体" w:eastAsia="宋体" w:hAnsi="宋体" w:hint="eastAsia"/>
          <w:sz w:val="24"/>
        </w:rPr>
        <w:t>，刘敏</w:t>
      </w:r>
      <w:r w:rsidRPr="00583AA0">
        <w:rPr>
          <w:rFonts w:ascii="宋体" w:eastAsia="宋体" w:hAnsi="宋体" w:hint="eastAsia"/>
          <w:sz w:val="24"/>
          <w:vertAlign w:val="superscript"/>
        </w:rPr>
        <w:t>2</w:t>
      </w:r>
      <w:r>
        <w:rPr>
          <w:rFonts w:ascii="宋体" w:eastAsia="宋体" w:hAnsi="宋体" w:hint="eastAsia"/>
          <w:sz w:val="24"/>
        </w:rPr>
        <w:t>，</w:t>
      </w:r>
      <w:commentRangeStart w:id="0"/>
      <w:r w:rsidR="00641AA3">
        <w:rPr>
          <w:rFonts w:ascii="宋体" w:eastAsia="宋体" w:hAnsi="宋体" w:hint="eastAsia"/>
          <w:sz w:val="24"/>
        </w:rPr>
        <w:t>洪思妍</w:t>
      </w:r>
      <w:r w:rsidRPr="00583AA0">
        <w:rPr>
          <w:rFonts w:ascii="宋体" w:eastAsia="宋体" w:hAnsi="宋体" w:hint="eastAsia"/>
          <w:sz w:val="24"/>
          <w:vertAlign w:val="superscript"/>
        </w:rPr>
        <w:t>2</w:t>
      </w:r>
      <w:commentRangeEnd w:id="0"/>
      <w:r w:rsidR="00991EB1">
        <w:rPr>
          <w:rStyle w:val="af4"/>
        </w:rPr>
        <w:commentReference w:id="0"/>
      </w:r>
      <w:r>
        <w:rPr>
          <w:rFonts w:ascii="宋体" w:eastAsia="宋体" w:hAnsi="宋体" w:hint="eastAsia"/>
          <w:sz w:val="24"/>
        </w:rPr>
        <w:t>，</w:t>
      </w:r>
      <w:r w:rsidRPr="009A358D">
        <w:rPr>
          <w:rFonts w:ascii="Times New Roman" w:hAnsi="Times New Roman" w:cs="Times New Roman"/>
          <w:sz w:val="24"/>
        </w:rPr>
        <w:t>Tianyu</w:t>
      </w:r>
      <w:r>
        <w:rPr>
          <w:rFonts w:ascii="Times New Roman" w:hAnsi="Times New Roman" w:cs="Times New Roman"/>
          <w:sz w:val="24"/>
        </w:rPr>
        <w:t xml:space="preserve"> </w:t>
      </w:r>
      <w:proofErr w:type="spellStart"/>
      <w:r w:rsidRPr="009A358D">
        <w:rPr>
          <w:rFonts w:ascii="Times New Roman" w:hAnsi="Times New Roman" w:cs="Times New Roman"/>
          <w:sz w:val="24"/>
        </w:rPr>
        <w:t>Bao</w:t>
      </w:r>
      <w:r w:rsidR="006C31E8">
        <w:rPr>
          <w:rFonts w:ascii="宋体" w:eastAsia="宋体" w:hAnsi="宋体"/>
          <w:sz w:val="24"/>
          <w:vertAlign w:val="superscript"/>
        </w:rPr>
        <w:t>4</w:t>
      </w:r>
      <w:proofErr w:type="spellEnd"/>
      <w:r>
        <w:rPr>
          <w:rFonts w:ascii="宋体" w:eastAsia="宋体" w:hAnsi="宋体" w:hint="eastAsia"/>
          <w:sz w:val="24"/>
        </w:rPr>
        <w:t>，杨宇翔</w:t>
      </w:r>
      <w:r w:rsidR="006C31E8">
        <w:rPr>
          <w:rFonts w:ascii="宋体" w:eastAsia="宋体" w:hAnsi="宋体"/>
          <w:sz w:val="24"/>
          <w:vertAlign w:val="superscript"/>
        </w:rPr>
        <w:t>5</w:t>
      </w:r>
      <w:r>
        <w:rPr>
          <w:rFonts w:ascii="宋体" w:eastAsia="宋体" w:hAnsi="宋体" w:hint="eastAsia"/>
          <w:sz w:val="24"/>
        </w:rPr>
        <w:t>*，</w:t>
      </w:r>
    </w:p>
    <w:p w14:paraId="4CF3C322" w14:textId="658B105A" w:rsidR="008815F7" w:rsidRPr="004C748D" w:rsidRDefault="008815F7" w:rsidP="00583AA0">
      <w:pPr>
        <w:jc w:val="both"/>
        <w:rPr>
          <w:rFonts w:ascii="宋体" w:eastAsia="宋体" w:hAnsi="宋体" w:hint="eastAsia"/>
          <w:sz w:val="24"/>
        </w:rPr>
      </w:pPr>
      <w:r w:rsidRPr="004C748D">
        <w:rPr>
          <w:rFonts w:ascii="宋体" w:eastAsia="宋体" w:hAnsi="宋体" w:hint="eastAsia"/>
          <w:sz w:val="24"/>
        </w:rPr>
        <w:t>摘要：</w:t>
      </w:r>
      <w:r w:rsidR="00D20BCE" w:rsidRPr="004C748D">
        <w:rPr>
          <w:rFonts w:ascii="宋体" w:eastAsia="宋体" w:hAnsi="宋体" w:hint="eastAsia"/>
          <w:sz w:val="24"/>
        </w:rPr>
        <w:t>油田智能开发是指运用物联网、大数据、人工智能、</w:t>
      </w:r>
      <w:proofErr w:type="gramStart"/>
      <w:r w:rsidR="00D20BCE" w:rsidRPr="004C748D">
        <w:rPr>
          <w:rFonts w:ascii="宋体" w:eastAsia="宋体" w:hAnsi="宋体" w:hint="eastAsia"/>
          <w:sz w:val="24"/>
        </w:rPr>
        <w:t>云计算</w:t>
      </w:r>
      <w:proofErr w:type="gramEnd"/>
      <w:r w:rsidR="00D20BCE" w:rsidRPr="004C748D">
        <w:rPr>
          <w:rFonts w:ascii="宋体" w:eastAsia="宋体" w:hAnsi="宋体" w:hint="eastAsia"/>
          <w:sz w:val="24"/>
        </w:rPr>
        <w:t>等先进信息技术，对油田的勘探、钻井、生产、运输、管理等全过程进行智能化改造和优化的总体战略。随着全球能源结构调整和数字经济的快速发展，智能油田建设已成为石油工业转型升级的重要方向。本</w:t>
      </w:r>
      <w:r w:rsidR="006C31E8">
        <w:rPr>
          <w:rFonts w:ascii="宋体" w:eastAsia="宋体" w:hAnsi="宋体" w:hint="eastAsia"/>
          <w:sz w:val="24"/>
        </w:rPr>
        <w:t>研究</w:t>
      </w:r>
      <w:r w:rsidR="00D20BCE" w:rsidRPr="004C748D">
        <w:rPr>
          <w:rFonts w:ascii="宋体" w:eastAsia="宋体" w:hAnsi="宋体" w:hint="eastAsia"/>
          <w:sz w:val="24"/>
        </w:rPr>
        <w:t>从数据采集与处理、关键技术应用、核心热点问题、存在的主要挑战以及发展前景等多个方面，系统地分析了当前油田智能开发的现状、进展和趋势。通过引文分析和共被引分析等科学计量学方法，揭示了该领域的知识结构、学科交叉特点以及研究热点演变规律。研究表明，油田智能化已经从早期的局部自动化发展演变为涵盖</w:t>
      </w:r>
      <w:proofErr w:type="gramStart"/>
      <w:r w:rsidR="00D20BCE" w:rsidRPr="004C748D">
        <w:rPr>
          <w:rFonts w:ascii="宋体" w:eastAsia="宋体" w:hAnsi="宋体" w:hint="eastAsia"/>
          <w:sz w:val="24"/>
        </w:rPr>
        <w:t>全价值</w:t>
      </w:r>
      <w:proofErr w:type="gramEnd"/>
      <w:r w:rsidR="00D20BCE" w:rsidRPr="004C748D">
        <w:rPr>
          <w:rFonts w:ascii="宋体" w:eastAsia="宋体" w:hAnsi="宋体" w:hint="eastAsia"/>
          <w:sz w:val="24"/>
        </w:rPr>
        <w:t>链的智能化生态系统，数据驱动的决策模式正在逐步取代经验判断，人工智能、机器学习和运筹优化在油田运营中的应用前景广阔。</w:t>
      </w:r>
    </w:p>
    <w:p w14:paraId="4B159621" w14:textId="03A0D8B6" w:rsidR="008815F7" w:rsidRPr="004C748D" w:rsidRDefault="008815F7" w:rsidP="00583AA0">
      <w:pPr>
        <w:jc w:val="both"/>
        <w:rPr>
          <w:rFonts w:ascii="宋体" w:eastAsia="宋体" w:hAnsi="宋体" w:hint="eastAsia"/>
          <w:sz w:val="24"/>
        </w:rPr>
      </w:pPr>
      <w:r w:rsidRPr="004C748D">
        <w:rPr>
          <w:rFonts w:ascii="宋体" w:eastAsia="宋体" w:hAnsi="宋体" w:hint="eastAsia"/>
          <w:sz w:val="24"/>
        </w:rPr>
        <w:t>关键字：</w:t>
      </w:r>
      <w:r w:rsidR="004A4209" w:rsidRPr="004C748D">
        <w:rPr>
          <w:rFonts w:ascii="宋体" w:eastAsia="宋体" w:hAnsi="宋体" w:hint="eastAsia"/>
          <w:sz w:val="24"/>
        </w:rPr>
        <w:t>油田智能；数据驱动；人工智能；运筹优化；油田管理；</w:t>
      </w:r>
    </w:p>
    <w:p w14:paraId="3DEB64A7" w14:textId="387EAF10" w:rsidR="00C014A7" w:rsidRPr="004C748D" w:rsidRDefault="00C014A7" w:rsidP="00583AA0">
      <w:pPr>
        <w:jc w:val="both"/>
        <w:rPr>
          <w:rFonts w:ascii="宋体" w:eastAsia="宋体" w:hAnsi="宋体" w:hint="eastAsia"/>
          <w:sz w:val="24"/>
        </w:rPr>
      </w:pPr>
      <w:r w:rsidRPr="004C748D">
        <w:rPr>
          <w:rFonts w:ascii="宋体" w:eastAsia="宋体" w:hAnsi="宋体" w:hint="eastAsia"/>
          <w:sz w:val="24"/>
        </w:rPr>
        <w:t>1.</w:t>
      </w:r>
      <w:r w:rsidR="008815F7" w:rsidRPr="004C748D">
        <w:rPr>
          <w:rFonts w:ascii="宋体" w:eastAsia="宋体" w:hAnsi="宋体" w:hint="eastAsia"/>
          <w:sz w:val="24"/>
        </w:rPr>
        <w:t>引言</w:t>
      </w:r>
      <w:r w:rsidR="00FD57E9" w:rsidRPr="004C748D">
        <w:rPr>
          <w:rFonts w:ascii="宋体" w:eastAsia="宋体" w:hAnsi="宋体"/>
          <w:sz w:val="24"/>
        </w:rPr>
        <w:t xml:space="preserve"> </w:t>
      </w:r>
    </w:p>
    <w:p w14:paraId="1B32609B" w14:textId="2F0303CE" w:rsidR="00C014A7" w:rsidRPr="004C748D" w:rsidRDefault="00C014A7" w:rsidP="00583AA0">
      <w:pPr>
        <w:ind w:firstLine="420"/>
        <w:jc w:val="both"/>
        <w:rPr>
          <w:rFonts w:ascii="宋体" w:eastAsia="宋体" w:hAnsi="宋体" w:hint="eastAsia"/>
          <w:sz w:val="24"/>
        </w:rPr>
      </w:pPr>
      <w:r w:rsidRPr="004C748D">
        <w:rPr>
          <w:rFonts w:ascii="宋体" w:eastAsia="宋体" w:hAnsi="宋体" w:hint="eastAsia"/>
          <w:sz w:val="24"/>
        </w:rPr>
        <w:t>油田智能开发是将新一代信息技术与石油工业深度融合的产物。它通过在勘探、开发、生产、运输、销售等环节应用先进的传感器技术、通信技术、计算机技术和人工智能等技术，实现油田运营的全面感知、智能分析和科学决策，从而提高资源采收率、降低生产成本、保护生态环境、增强安全管理能力。</w:t>
      </w:r>
    </w:p>
    <w:p w14:paraId="2F85F0C5" w14:textId="7D77B3E3" w:rsidR="00F1199C" w:rsidRPr="00F1199C" w:rsidRDefault="006B664A" w:rsidP="00F1199C">
      <w:pPr>
        <w:ind w:firstLine="420"/>
        <w:jc w:val="both"/>
        <w:rPr>
          <w:rFonts w:ascii="Times New Roman" w:eastAsia="宋体" w:hAnsi="Times New Roman" w:cs="Times New Roman"/>
          <w:sz w:val="24"/>
        </w:rPr>
      </w:pPr>
      <w:r w:rsidRPr="004C748D">
        <w:rPr>
          <w:rFonts w:ascii="宋体" w:eastAsia="宋体" w:hAnsi="宋体"/>
          <w:sz w:val="24"/>
        </w:rPr>
        <w:t>在全球能源供需矛盾不断加剧的背景下，传统粗放式油田开发模式已难以适应当前发展需求。随着易开采油气资源的持续消耗，新发现油气田多呈现高温、高压和高地应力</w:t>
      </w:r>
      <w:r w:rsidRPr="004C748D">
        <w:rPr>
          <w:rFonts w:ascii="宋体" w:eastAsia="宋体" w:hAnsi="宋体" w:hint="eastAsia"/>
          <w:sz w:val="24"/>
        </w:rPr>
        <w:t>的</w:t>
      </w:r>
      <w:r w:rsidRPr="004C748D">
        <w:rPr>
          <w:rFonts w:ascii="宋体" w:eastAsia="宋体" w:hAnsi="宋体"/>
          <w:sz w:val="24"/>
        </w:rPr>
        <w:t>“三高”特征</w:t>
      </w:r>
      <w:r w:rsidRPr="004C748D">
        <w:rPr>
          <w:rFonts w:ascii="宋体" w:eastAsia="宋体" w:hAnsi="宋体" w:hint="eastAsia"/>
          <w:sz w:val="24"/>
        </w:rPr>
        <w:t>[</w:t>
      </w:r>
      <w:r w:rsidR="009750C4" w:rsidRPr="004C748D">
        <w:rPr>
          <w:rFonts w:ascii="宋体" w:eastAsia="宋体" w:hAnsi="宋体" w:hint="eastAsia"/>
          <w:sz w:val="24"/>
        </w:rPr>
        <w:t>1</w:t>
      </w:r>
      <w:r w:rsidRPr="004C748D">
        <w:rPr>
          <w:rFonts w:ascii="宋体" w:eastAsia="宋体" w:hAnsi="宋体" w:hint="eastAsia"/>
          <w:sz w:val="24"/>
        </w:rPr>
        <w:t>]</w:t>
      </w:r>
      <w:r w:rsidRPr="004C748D">
        <w:rPr>
          <w:rFonts w:ascii="宋体" w:eastAsia="宋体" w:hAnsi="宋体"/>
          <w:sz w:val="24"/>
        </w:rPr>
        <w:t>，成为开发难度大、风险高的困难油田</w:t>
      </w:r>
      <w:r w:rsidR="00C014A7" w:rsidRPr="004C748D">
        <w:rPr>
          <w:rFonts w:ascii="宋体" w:eastAsia="宋体" w:hAnsi="宋体" w:hint="eastAsia"/>
          <w:sz w:val="24"/>
        </w:rPr>
        <w:t>；另一方面，环保要求日益严格，社会各界对能源生产的环境影响提出了更高的要求</w:t>
      </w:r>
      <w:r w:rsidRPr="004C748D">
        <w:rPr>
          <w:rFonts w:ascii="宋体" w:eastAsia="宋体" w:hAnsi="宋体" w:hint="eastAsia"/>
          <w:sz w:val="24"/>
        </w:rPr>
        <w:t>，尤其在现代</w:t>
      </w:r>
      <w:r w:rsidRPr="004C748D">
        <w:rPr>
          <w:rFonts w:ascii="宋体" w:eastAsia="宋体" w:hAnsi="宋体"/>
          <w:sz w:val="24"/>
        </w:rPr>
        <w:t>经济全球化背景下，油收入减去生产成本与环境退化呈负相关，而能源使用率和经济全球化程度则显著推动环境退化</w:t>
      </w:r>
      <w:r w:rsidRPr="004C748D">
        <w:rPr>
          <w:rFonts w:ascii="宋体" w:eastAsia="宋体" w:hAnsi="宋体" w:hint="eastAsia"/>
          <w:sz w:val="24"/>
        </w:rPr>
        <w:t>[</w:t>
      </w:r>
      <w:r w:rsidR="009750C4" w:rsidRPr="004C748D">
        <w:rPr>
          <w:rFonts w:ascii="宋体" w:eastAsia="宋体" w:hAnsi="宋体" w:hint="eastAsia"/>
          <w:sz w:val="24"/>
        </w:rPr>
        <w:t>2</w:t>
      </w:r>
      <w:r w:rsidRPr="004C748D">
        <w:rPr>
          <w:rFonts w:ascii="宋体" w:eastAsia="宋体" w:hAnsi="宋体" w:hint="eastAsia"/>
          <w:sz w:val="24"/>
        </w:rPr>
        <w:t>]</w:t>
      </w:r>
      <w:r w:rsidR="00C014A7" w:rsidRPr="004C748D">
        <w:rPr>
          <w:rFonts w:ascii="宋体" w:eastAsia="宋体" w:hAnsi="宋体" w:hint="eastAsia"/>
          <w:sz w:val="24"/>
        </w:rPr>
        <w:t>。在这样的形势下，油田智能开发应运而生，它通过充分利用信息技术手段，能够在降低开发成本的同时提高采收率，实现经济效益与环保效益的统一。</w:t>
      </w:r>
    </w:p>
    <w:p w14:paraId="0B9C1119" w14:textId="77777777" w:rsidR="004D29B9" w:rsidRPr="004D29B9" w:rsidRDefault="004D29B9" w:rsidP="004D29B9">
      <w:pPr>
        <w:ind w:firstLine="420"/>
        <w:rPr>
          <w:rFonts w:ascii="Times New Roman" w:eastAsia="宋体" w:hAnsi="Times New Roman" w:cs="Times New Roman"/>
          <w:color w:val="0000FF"/>
          <w:sz w:val="24"/>
        </w:rPr>
      </w:pPr>
      <w:r w:rsidRPr="004D29B9">
        <w:rPr>
          <w:rFonts w:ascii="Times New Roman" w:eastAsia="宋体" w:hAnsi="Times New Roman" w:cs="Times New Roman"/>
          <w:color w:val="0000FF"/>
          <w:sz w:val="24"/>
        </w:rPr>
        <w:t>尽管针对上述挑战，学术界已积累了大量研究成果，但现有文献综述大多侧重于特定技术在油田开发中的孤立应用，缺乏从全球视角对该领域知识演进逻辑的系统化定量分析。此外，受油气行业数据保密性强、现场数据获取成本高以及可公开数据规模有限等因素影响，相关研究往往基于有限数据集开展，进一步加剧了研究视角的碎片化。特别是，目前尚缺乏研究通过科学计量学方法系统梳理该领域的知识结构，清晰界定</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数据认知</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与</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决策优化</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两类技术范式之间的协同演化关系。</w:t>
      </w:r>
    </w:p>
    <w:p w14:paraId="7D48AFBD" w14:textId="77777777" w:rsidR="004D29B9" w:rsidRPr="004D29B9" w:rsidRDefault="004D29B9" w:rsidP="004D29B9">
      <w:pPr>
        <w:ind w:firstLine="420"/>
        <w:rPr>
          <w:rFonts w:ascii="Times New Roman" w:eastAsia="宋体" w:hAnsi="Times New Roman" w:cs="Times New Roman"/>
          <w:color w:val="0000FF"/>
          <w:sz w:val="24"/>
        </w:rPr>
      </w:pPr>
      <w:r w:rsidRPr="004D29B9">
        <w:rPr>
          <w:rFonts w:ascii="Times New Roman" w:eastAsia="宋体" w:hAnsi="Times New Roman" w:cs="Times New Roman"/>
          <w:color w:val="0000FF"/>
          <w:sz w:val="24"/>
        </w:rPr>
        <w:t>这种学术视角与数据条件上的双重局限，使得研究者难以从宏观层面把握智能油田由单一技术应用向系统化、全产业链智能生态演进的内在规律。因</w:t>
      </w:r>
      <w:r w:rsidRPr="004D29B9">
        <w:rPr>
          <w:rFonts w:ascii="Times New Roman" w:eastAsia="宋体" w:hAnsi="Times New Roman" w:cs="Times New Roman"/>
          <w:color w:val="0000FF"/>
          <w:sz w:val="24"/>
        </w:rPr>
        <w:lastRenderedPageBreak/>
        <w:t>此，开展基于引文空间分析的科学计量研究，不仅有助于梳理该领域的发展脉络，还能够在有限公开数据基础上，通过定量识别研究热点的迁移轨迹与新兴前沿，揭示底层智能技术与复杂油田工况之间的耦合关系，从而为</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数据认知</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决策优化</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的</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双核驱动</w:t>
      </w:r>
      <w:r w:rsidRPr="004D29B9">
        <w:rPr>
          <w:rFonts w:ascii="Times New Roman" w:eastAsia="宋体" w:hAnsi="Times New Roman" w:cs="Times New Roman"/>
          <w:color w:val="0000FF"/>
          <w:sz w:val="24"/>
        </w:rPr>
        <w:t>”</w:t>
      </w:r>
      <w:r w:rsidRPr="004D29B9">
        <w:rPr>
          <w:rFonts w:ascii="Times New Roman" w:eastAsia="宋体" w:hAnsi="Times New Roman" w:cs="Times New Roman"/>
          <w:color w:val="0000FF"/>
          <w:sz w:val="24"/>
        </w:rPr>
        <w:t>框架在智能油田决策体系中的形成提供科学的演化依据。</w:t>
      </w:r>
    </w:p>
    <w:p w14:paraId="36AA43E7" w14:textId="2322DD9A" w:rsidR="00CD7029" w:rsidRPr="00CD7029" w:rsidRDefault="00CD7029" w:rsidP="004D29B9">
      <w:pPr>
        <w:ind w:firstLine="420"/>
        <w:rPr>
          <w:rFonts w:ascii="宋体" w:eastAsia="宋体" w:hAnsi="宋体" w:hint="eastAsia"/>
          <w:sz w:val="24"/>
        </w:rPr>
      </w:pPr>
      <w:r w:rsidRPr="00CD7029">
        <w:rPr>
          <w:rFonts w:ascii="宋体" w:eastAsia="宋体" w:hAnsi="宋体"/>
          <w:noProof/>
          <w:sz w:val="24"/>
        </w:rPr>
        <w:drawing>
          <wp:inline distT="0" distB="0" distL="0" distR="0" wp14:anchorId="002239E0" wp14:editId="0150BAC4">
            <wp:extent cx="5274310" cy="2877820"/>
            <wp:effectExtent l="0" t="0" r="2540" b="0"/>
            <wp:docPr id="187126094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60942" name="图片 1" descr="图示&#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77820"/>
                    </a:xfrm>
                    <a:prstGeom prst="rect">
                      <a:avLst/>
                    </a:prstGeom>
                    <a:noFill/>
                    <a:ln>
                      <a:noFill/>
                    </a:ln>
                  </pic:spPr>
                </pic:pic>
              </a:graphicData>
            </a:graphic>
          </wp:inline>
        </w:drawing>
      </w:r>
    </w:p>
    <w:p w14:paraId="0C4FEC78" w14:textId="1369EEDD" w:rsidR="006C31E8" w:rsidRPr="004C748D" w:rsidRDefault="006C31E8" w:rsidP="00CD7029">
      <w:pPr>
        <w:ind w:firstLine="420"/>
        <w:jc w:val="center"/>
        <w:rPr>
          <w:rFonts w:ascii="宋体" w:eastAsia="宋体" w:hAnsi="宋体" w:hint="eastAsia"/>
          <w:sz w:val="24"/>
        </w:rPr>
      </w:pPr>
      <w:r w:rsidRPr="004C748D">
        <w:rPr>
          <w:rFonts w:ascii="宋体" w:eastAsia="宋体" w:hAnsi="宋体" w:cs="Segoe UI" w:hint="eastAsia"/>
          <w:kern w:val="0"/>
          <w:sz w:val="24"/>
          <w14:ligatures w14:val="none"/>
        </w:rPr>
        <w:t>图1：</w:t>
      </w:r>
      <w:r w:rsidRPr="004C748D">
        <w:rPr>
          <w:rFonts w:ascii="宋体" w:eastAsia="宋体" w:hAnsi="宋体" w:hint="eastAsia"/>
          <w:sz w:val="24"/>
        </w:rPr>
        <w:t>油田智能开发概况图</w:t>
      </w:r>
    </w:p>
    <w:p w14:paraId="0F56A08D" w14:textId="3AFE8E0A" w:rsidR="00C014A7" w:rsidRPr="007A7863" w:rsidRDefault="00C014A7" w:rsidP="006C31E8">
      <w:pPr>
        <w:ind w:firstLine="420"/>
        <w:jc w:val="both"/>
        <w:rPr>
          <w:rFonts w:ascii="宋体" w:eastAsia="宋体" w:hAnsi="宋体" w:hint="eastAsia"/>
          <w:sz w:val="24"/>
        </w:rPr>
      </w:pPr>
      <w:r w:rsidRPr="004C748D">
        <w:rPr>
          <w:rFonts w:ascii="宋体" w:eastAsia="宋体" w:hAnsi="宋体" w:hint="eastAsia"/>
          <w:sz w:val="24"/>
        </w:rPr>
        <w:t>当前油田智能开发已经取得了显著成效。从国际看，美孚、壳牌、埃克森美孚等国际石油公司已经建立了较为完善的数字化运营体系</w:t>
      </w:r>
      <w:r w:rsidR="009750C4" w:rsidRPr="004C748D">
        <w:rPr>
          <w:rFonts w:ascii="宋体" w:eastAsia="宋体" w:hAnsi="宋体" w:hint="eastAsia"/>
          <w:sz w:val="24"/>
        </w:rPr>
        <w:t>[3]</w:t>
      </w:r>
      <w:r w:rsidRPr="004C748D">
        <w:rPr>
          <w:rFonts w:ascii="宋体" w:eastAsia="宋体" w:hAnsi="宋体" w:hint="eastAsia"/>
          <w:sz w:val="24"/>
        </w:rPr>
        <w:t>。从国内看，中国石油、中国石化、中国海油等大型石油企业也在积极推进智能油田建设，</w:t>
      </w:r>
      <w:r w:rsidR="001A0D08" w:rsidRPr="004C748D">
        <w:rPr>
          <w:rFonts w:ascii="宋体" w:eastAsia="宋体" w:hAnsi="宋体" w:hint="eastAsia"/>
          <w:sz w:val="24"/>
        </w:rPr>
        <w:t>如中国海油</w:t>
      </w:r>
      <w:r w:rsidR="001A0D08" w:rsidRPr="004C748D">
        <w:rPr>
          <w:rFonts w:ascii="宋体" w:eastAsia="宋体" w:hAnsi="宋体"/>
          <w:sz w:val="24"/>
        </w:rPr>
        <w:t>构建</w:t>
      </w:r>
      <w:r w:rsidR="001A0D08" w:rsidRPr="004C748D">
        <w:rPr>
          <w:rFonts w:ascii="宋体" w:eastAsia="宋体" w:hAnsi="宋体" w:hint="eastAsia"/>
          <w:sz w:val="24"/>
        </w:rPr>
        <w:t>的</w:t>
      </w:r>
      <w:r w:rsidR="001A0D08" w:rsidRPr="004C748D">
        <w:rPr>
          <w:rFonts w:ascii="宋体" w:eastAsia="宋体" w:hAnsi="宋体"/>
          <w:sz w:val="24"/>
        </w:rPr>
        <w:t>一个集成AI、大数据分析与诊断预测的管理框架</w:t>
      </w:r>
      <w:r w:rsidR="001A0D08" w:rsidRPr="004C748D">
        <w:rPr>
          <w:rFonts w:ascii="宋体" w:eastAsia="宋体" w:hAnsi="宋体" w:hint="eastAsia"/>
          <w:sz w:val="24"/>
        </w:rPr>
        <w:t>，专门用于油田的</w:t>
      </w:r>
      <w:r w:rsidR="001A0D08" w:rsidRPr="004C748D">
        <w:rPr>
          <w:rFonts w:ascii="宋体" w:eastAsia="宋体" w:hAnsi="宋体"/>
          <w:sz w:val="24"/>
        </w:rPr>
        <w:t>监控、故障预判与运营优化</w:t>
      </w:r>
      <w:r w:rsidR="001A0D08" w:rsidRPr="004C748D">
        <w:rPr>
          <w:rFonts w:ascii="宋体" w:eastAsia="宋体" w:hAnsi="宋体" w:hint="eastAsia"/>
          <w:sz w:val="24"/>
        </w:rPr>
        <w:t>[</w:t>
      </w:r>
      <w:r w:rsidR="009750C4" w:rsidRPr="004C748D">
        <w:rPr>
          <w:rFonts w:ascii="宋体" w:eastAsia="宋体" w:hAnsi="宋体" w:hint="eastAsia"/>
          <w:sz w:val="24"/>
        </w:rPr>
        <w:t>4</w:t>
      </w:r>
      <w:r w:rsidR="001A0D08" w:rsidRPr="004C748D">
        <w:rPr>
          <w:rFonts w:ascii="宋体" w:eastAsia="宋体" w:hAnsi="宋体" w:hint="eastAsia"/>
          <w:sz w:val="24"/>
        </w:rPr>
        <w:t>]</w:t>
      </w:r>
      <w:r w:rsidRPr="004C748D">
        <w:rPr>
          <w:rFonts w:ascii="宋体" w:eastAsia="宋体" w:hAnsi="宋体" w:hint="eastAsia"/>
          <w:sz w:val="24"/>
        </w:rPr>
        <w:t>。</w:t>
      </w:r>
    </w:p>
    <w:p w14:paraId="5D43B2E5" w14:textId="588D6A3B" w:rsidR="0044239F" w:rsidRPr="004C748D" w:rsidRDefault="0044239F" w:rsidP="006C31E8">
      <w:pPr>
        <w:ind w:firstLine="420"/>
        <w:jc w:val="both"/>
        <w:rPr>
          <w:rFonts w:ascii="宋体" w:eastAsia="宋体" w:hAnsi="宋体" w:hint="eastAsia"/>
          <w:sz w:val="24"/>
        </w:rPr>
      </w:pPr>
      <w:r w:rsidRPr="0044239F">
        <w:rPr>
          <w:rFonts w:ascii="宋体" w:eastAsia="宋体" w:hAnsi="宋体" w:hint="eastAsia"/>
          <w:sz w:val="24"/>
        </w:rPr>
        <w:t>本文将检索范围聚焦于“Intelligent/Smart Development”，</w:t>
      </w:r>
      <w:proofErr w:type="gramStart"/>
      <w:r w:rsidRPr="0044239F">
        <w:rPr>
          <w:rFonts w:ascii="宋体" w:eastAsia="宋体" w:hAnsi="宋体" w:hint="eastAsia"/>
          <w:sz w:val="24"/>
        </w:rPr>
        <w:t>而非更宽泛</w:t>
      </w:r>
      <w:proofErr w:type="gramEnd"/>
      <w:r w:rsidRPr="0044239F">
        <w:rPr>
          <w:rFonts w:ascii="宋体" w:eastAsia="宋体" w:hAnsi="宋体" w:hint="eastAsia"/>
          <w:sz w:val="24"/>
        </w:rPr>
        <w:t>的“Digital Oilfield”，以突出油田开发从信息化向智能化决策转型的技术拐点。尽管样本量为225篇，但这些文献构成了当前智能开发研究的核心引文基础，有助于更清晰地揭示“AI认知”与“运筹优化”的双核驱动格局。</w:t>
      </w:r>
    </w:p>
    <w:p w14:paraId="32DC3EC0" w14:textId="7D463DAC" w:rsidR="00556FEF" w:rsidRDefault="00C014A7" w:rsidP="002A0F53">
      <w:pPr>
        <w:ind w:firstLine="420"/>
        <w:jc w:val="both"/>
        <w:rPr>
          <w:rFonts w:ascii="宋体" w:eastAsia="宋体" w:hAnsi="宋体" w:hint="eastAsia"/>
          <w:sz w:val="24"/>
        </w:rPr>
      </w:pPr>
      <w:r w:rsidRPr="004C748D">
        <w:rPr>
          <w:rFonts w:ascii="宋体" w:eastAsia="宋体" w:hAnsi="宋体" w:hint="eastAsia"/>
          <w:sz w:val="24"/>
        </w:rPr>
        <w:t>本研究</w:t>
      </w:r>
      <w:r w:rsidR="006C31E8">
        <w:rPr>
          <w:rFonts w:ascii="宋体" w:eastAsia="宋体" w:hAnsi="宋体" w:hint="eastAsia"/>
          <w:sz w:val="24"/>
        </w:rPr>
        <w:t>的</w:t>
      </w:r>
      <w:r w:rsidRPr="004C748D">
        <w:rPr>
          <w:rFonts w:ascii="宋体" w:eastAsia="宋体" w:hAnsi="宋体" w:hint="eastAsia"/>
          <w:sz w:val="24"/>
        </w:rPr>
        <w:t>目标是：通过系统分析油田智能开发领域的相关文献，运用科学计量学方法，揭示该领域的研究热点、知识结构和发展趋势，为相关研究者和从业者提供参考和借鉴。</w:t>
      </w:r>
      <w:r w:rsidR="00556FEF" w:rsidRPr="004C748D">
        <w:rPr>
          <w:rFonts w:ascii="宋体" w:eastAsia="宋体" w:hAnsi="宋体"/>
          <w:sz w:val="24"/>
        </w:rPr>
        <w:t>通过对核心学科及关键词的聚类分析发现，当前研究呈现出极强的跨学科属性，主要聚焦于利用机器学习、深度学习等人工智能核心算法，针对复杂油藏环境进行高精度的产量预测与注采方案优化。这种从“数据驱动”向“决策智能化”的转型，已成为提升油田作业性能和提高最终采收率的关键技术路径。</w:t>
      </w:r>
    </w:p>
    <w:p w14:paraId="3FC8075B" w14:textId="77777777" w:rsidR="00E57C42" w:rsidRDefault="00E57C42" w:rsidP="00E57C42">
      <w:pPr>
        <w:rPr>
          <w:rFonts w:ascii="Times New Roman" w:hAnsi="Times New Roman" w:cs="Times New Roman"/>
          <w:sz w:val="24"/>
        </w:rPr>
      </w:pPr>
      <w:r w:rsidRPr="007A1E39">
        <w:rPr>
          <w:rFonts w:ascii="Times New Roman" w:hAnsi="Times New Roman" w:cs="Times New Roman"/>
          <w:sz w:val="24"/>
        </w:rPr>
        <w:lastRenderedPageBreak/>
        <w:t>本文主要贡献：</w:t>
      </w:r>
    </w:p>
    <w:p w14:paraId="77CF1070" w14:textId="77777777" w:rsidR="00E57C42" w:rsidRPr="007A1E39" w:rsidRDefault="00E57C42" w:rsidP="00E57C42">
      <w:pPr>
        <w:pStyle w:val="a9"/>
        <w:numPr>
          <w:ilvl w:val="0"/>
          <w:numId w:val="4"/>
        </w:numPr>
        <w:spacing w:after="0" w:line="240" w:lineRule="auto"/>
        <w:contextualSpacing w:val="0"/>
        <w:jc w:val="both"/>
        <w:rPr>
          <w:rFonts w:ascii="Times New Roman" w:hAnsi="Times New Roman" w:cs="Times New Roman"/>
          <w:sz w:val="24"/>
        </w:rPr>
      </w:pPr>
      <w:r w:rsidRPr="007A1E39">
        <w:rPr>
          <w:rFonts w:ascii="Times New Roman" w:hAnsi="Times New Roman" w:cs="Times New Roman"/>
          <w:sz w:val="24"/>
        </w:rPr>
        <w:t>揭示</w:t>
      </w:r>
      <w:r w:rsidRPr="007A1E39">
        <w:rPr>
          <w:rFonts w:ascii="Times New Roman" w:hAnsi="Times New Roman" w:cs="Times New Roman"/>
          <w:sz w:val="24"/>
        </w:rPr>
        <w:t>“</w:t>
      </w:r>
      <w:r w:rsidRPr="007A1E39">
        <w:rPr>
          <w:rFonts w:ascii="Times New Roman" w:hAnsi="Times New Roman" w:cs="Times New Roman"/>
          <w:sz w:val="24"/>
        </w:rPr>
        <w:t>双核驱动</w:t>
      </w:r>
      <w:r w:rsidRPr="007A1E39">
        <w:rPr>
          <w:rFonts w:ascii="Times New Roman" w:hAnsi="Times New Roman" w:cs="Times New Roman"/>
          <w:sz w:val="24"/>
        </w:rPr>
        <w:t>”</w:t>
      </w:r>
      <w:r w:rsidRPr="007A1E39">
        <w:rPr>
          <w:rFonts w:ascii="Times New Roman" w:hAnsi="Times New Roman" w:cs="Times New Roman"/>
          <w:sz w:val="24"/>
        </w:rPr>
        <w:t>研究格局：通过科学计量学分析，首次界定了油田开发中</w:t>
      </w:r>
      <w:r w:rsidRPr="007A1E39">
        <w:rPr>
          <w:rFonts w:ascii="Times New Roman" w:hAnsi="Times New Roman" w:cs="Times New Roman"/>
          <w:sz w:val="24"/>
        </w:rPr>
        <w:t>“AI</w:t>
      </w:r>
      <w:r w:rsidRPr="007A1E39">
        <w:rPr>
          <w:rFonts w:ascii="Times New Roman" w:hAnsi="Times New Roman" w:cs="Times New Roman"/>
          <w:sz w:val="24"/>
        </w:rPr>
        <w:t>智能认知</w:t>
      </w:r>
      <w:r w:rsidRPr="007A1E39">
        <w:rPr>
          <w:rFonts w:ascii="Times New Roman" w:hAnsi="Times New Roman" w:cs="Times New Roman"/>
          <w:sz w:val="24"/>
        </w:rPr>
        <w:t>”</w:t>
      </w:r>
      <w:r w:rsidRPr="007A1E39">
        <w:rPr>
          <w:rFonts w:ascii="Times New Roman" w:hAnsi="Times New Roman" w:cs="Times New Roman"/>
          <w:sz w:val="24"/>
        </w:rPr>
        <w:t>与</w:t>
      </w:r>
      <w:r w:rsidRPr="007A1E39">
        <w:rPr>
          <w:rFonts w:ascii="Times New Roman" w:hAnsi="Times New Roman" w:cs="Times New Roman"/>
          <w:sz w:val="24"/>
        </w:rPr>
        <w:t>“</w:t>
      </w:r>
      <w:r w:rsidRPr="007A1E39">
        <w:rPr>
          <w:rFonts w:ascii="Times New Roman" w:hAnsi="Times New Roman" w:cs="Times New Roman"/>
          <w:sz w:val="24"/>
        </w:rPr>
        <w:t>运筹优化决策</w:t>
      </w:r>
      <w:r w:rsidRPr="007A1E39">
        <w:rPr>
          <w:rFonts w:ascii="Times New Roman" w:hAnsi="Times New Roman" w:cs="Times New Roman"/>
          <w:sz w:val="24"/>
        </w:rPr>
        <w:t>”</w:t>
      </w:r>
      <w:r w:rsidRPr="007A1E39">
        <w:rPr>
          <w:rFonts w:ascii="Times New Roman" w:hAnsi="Times New Roman" w:cs="Times New Roman"/>
          <w:sz w:val="24"/>
        </w:rPr>
        <w:t>协同的</w:t>
      </w:r>
      <w:proofErr w:type="gramStart"/>
      <w:r w:rsidRPr="007A1E39">
        <w:rPr>
          <w:rFonts w:ascii="Times New Roman" w:hAnsi="Times New Roman" w:cs="Times New Roman"/>
          <w:sz w:val="24"/>
        </w:rPr>
        <w:t>双核心</w:t>
      </w:r>
      <w:proofErr w:type="gramEnd"/>
      <w:r w:rsidRPr="007A1E39">
        <w:rPr>
          <w:rFonts w:ascii="Times New Roman" w:hAnsi="Times New Roman" w:cs="Times New Roman"/>
          <w:sz w:val="24"/>
        </w:rPr>
        <w:t>知识结构。</w:t>
      </w:r>
    </w:p>
    <w:p w14:paraId="5DB6857B" w14:textId="77777777" w:rsidR="00E57C42" w:rsidRPr="007A1E39" w:rsidRDefault="00E57C42" w:rsidP="00E57C42">
      <w:pPr>
        <w:pStyle w:val="a9"/>
        <w:numPr>
          <w:ilvl w:val="0"/>
          <w:numId w:val="4"/>
        </w:numPr>
        <w:spacing w:after="0" w:line="240" w:lineRule="auto"/>
        <w:contextualSpacing w:val="0"/>
        <w:jc w:val="both"/>
        <w:rPr>
          <w:rFonts w:ascii="Times New Roman" w:hAnsi="Times New Roman" w:cs="Times New Roman"/>
          <w:sz w:val="24"/>
        </w:rPr>
      </w:pPr>
      <w:r w:rsidRPr="007A1E39">
        <w:rPr>
          <w:rFonts w:ascii="Times New Roman" w:hAnsi="Times New Roman" w:cs="Times New Roman"/>
          <w:sz w:val="24"/>
        </w:rPr>
        <w:t>方法论创新与数据精炼：开发了自定义数据处理流程，实现了多源异构数据的深度清洗与标准化，确保了分析样本的高精度与科学性。</w:t>
      </w:r>
    </w:p>
    <w:p w14:paraId="3E2BB5FF" w14:textId="77777777" w:rsidR="00E57C42" w:rsidRPr="007A1E39" w:rsidRDefault="00E57C42" w:rsidP="00E57C42">
      <w:pPr>
        <w:pStyle w:val="a9"/>
        <w:numPr>
          <w:ilvl w:val="0"/>
          <w:numId w:val="4"/>
        </w:numPr>
        <w:spacing w:after="0" w:line="240" w:lineRule="auto"/>
        <w:contextualSpacing w:val="0"/>
        <w:jc w:val="both"/>
        <w:rPr>
          <w:rFonts w:ascii="Times New Roman" w:hAnsi="Times New Roman" w:cs="Times New Roman"/>
          <w:sz w:val="24"/>
        </w:rPr>
      </w:pPr>
      <w:r w:rsidRPr="007A1E39">
        <w:rPr>
          <w:rFonts w:ascii="Times New Roman" w:hAnsi="Times New Roman" w:cs="Times New Roman"/>
          <w:sz w:val="24"/>
        </w:rPr>
        <w:t>全体系构建与前沿探索：系统梳理了从</w:t>
      </w:r>
      <w:r w:rsidRPr="007A1E39">
        <w:rPr>
          <w:rFonts w:ascii="Times New Roman" w:hAnsi="Times New Roman" w:cs="Times New Roman"/>
          <w:sz w:val="24"/>
        </w:rPr>
        <w:t>“</w:t>
      </w:r>
      <w:r w:rsidRPr="007A1E39">
        <w:rPr>
          <w:rFonts w:ascii="Times New Roman" w:hAnsi="Times New Roman" w:cs="Times New Roman"/>
          <w:sz w:val="24"/>
        </w:rPr>
        <w:t>感知</w:t>
      </w:r>
      <w:r w:rsidRPr="007A1E39">
        <w:rPr>
          <w:rFonts w:ascii="Times New Roman" w:hAnsi="Times New Roman" w:cs="Times New Roman"/>
          <w:sz w:val="24"/>
        </w:rPr>
        <w:t>”</w:t>
      </w:r>
      <w:r w:rsidRPr="007A1E39">
        <w:rPr>
          <w:rFonts w:ascii="Times New Roman" w:hAnsi="Times New Roman" w:cs="Times New Roman"/>
          <w:sz w:val="24"/>
        </w:rPr>
        <w:t>到</w:t>
      </w:r>
      <w:r w:rsidRPr="007A1E39">
        <w:rPr>
          <w:rFonts w:ascii="Times New Roman" w:hAnsi="Times New Roman" w:cs="Times New Roman"/>
          <w:sz w:val="24"/>
        </w:rPr>
        <w:t>“</w:t>
      </w:r>
      <w:r w:rsidRPr="007A1E39">
        <w:rPr>
          <w:rFonts w:ascii="Times New Roman" w:hAnsi="Times New Roman" w:cs="Times New Roman"/>
          <w:sz w:val="24"/>
        </w:rPr>
        <w:t>执行</w:t>
      </w:r>
      <w:r w:rsidRPr="007A1E39">
        <w:rPr>
          <w:rFonts w:ascii="Times New Roman" w:hAnsi="Times New Roman" w:cs="Times New Roman"/>
          <w:sz w:val="24"/>
        </w:rPr>
        <w:t>”</w:t>
      </w:r>
      <w:r w:rsidRPr="007A1E39">
        <w:rPr>
          <w:rFonts w:ascii="Times New Roman" w:hAnsi="Times New Roman" w:cs="Times New Roman"/>
          <w:sz w:val="24"/>
        </w:rPr>
        <w:t>的全流程技术体系，并深度探讨了深度强化学习（</w:t>
      </w:r>
      <w:r w:rsidRPr="007A1E39">
        <w:rPr>
          <w:rFonts w:ascii="Times New Roman" w:hAnsi="Times New Roman" w:cs="Times New Roman"/>
          <w:sz w:val="24"/>
        </w:rPr>
        <w:t>DRL</w:t>
      </w:r>
      <w:r w:rsidRPr="007A1E39">
        <w:rPr>
          <w:rFonts w:ascii="Times New Roman" w:hAnsi="Times New Roman" w:cs="Times New Roman"/>
          <w:sz w:val="24"/>
        </w:rPr>
        <w:t>）与安全韧性维度的工程化应用前景。</w:t>
      </w:r>
    </w:p>
    <w:p w14:paraId="2DF1CA36" w14:textId="77777777" w:rsidR="00E57C42" w:rsidRPr="007A1E39" w:rsidRDefault="00E57C42" w:rsidP="00E57C42">
      <w:pPr>
        <w:rPr>
          <w:rFonts w:ascii="Times New Roman" w:hAnsi="Times New Roman" w:cs="Times New Roman"/>
          <w:sz w:val="24"/>
        </w:rPr>
      </w:pPr>
      <w:r w:rsidRPr="007A1E39">
        <w:rPr>
          <w:rFonts w:ascii="Times New Roman" w:hAnsi="Times New Roman" w:cs="Times New Roman"/>
          <w:sz w:val="24"/>
        </w:rPr>
        <w:t>本文与现有综述的区别：</w:t>
      </w:r>
    </w:p>
    <w:p w14:paraId="2FE7338A" w14:textId="77777777" w:rsidR="00E57C42" w:rsidRPr="007A1E39" w:rsidRDefault="00E57C42" w:rsidP="00E57C42">
      <w:pPr>
        <w:pStyle w:val="a9"/>
        <w:numPr>
          <w:ilvl w:val="0"/>
          <w:numId w:val="5"/>
        </w:numPr>
        <w:spacing w:after="0" w:line="240" w:lineRule="auto"/>
        <w:contextualSpacing w:val="0"/>
        <w:jc w:val="both"/>
        <w:rPr>
          <w:rFonts w:ascii="Times New Roman" w:hAnsi="Times New Roman" w:cs="Times New Roman"/>
          <w:sz w:val="24"/>
        </w:rPr>
      </w:pPr>
      <w:r w:rsidRPr="007A1E39">
        <w:rPr>
          <w:rFonts w:ascii="Times New Roman" w:hAnsi="Times New Roman" w:cs="Times New Roman"/>
          <w:sz w:val="24"/>
        </w:rPr>
        <w:t>从定性描述转向定量科学计量：不同于传统经验总结，本文采用</w:t>
      </w:r>
      <w:proofErr w:type="gramStart"/>
      <w:r w:rsidRPr="007A1E39">
        <w:rPr>
          <w:rFonts w:ascii="Times New Roman" w:hAnsi="Times New Roman" w:cs="Times New Roman"/>
          <w:sz w:val="24"/>
        </w:rPr>
        <w:t>共引分析</w:t>
      </w:r>
      <w:proofErr w:type="gramEnd"/>
      <w:r w:rsidRPr="007A1E39">
        <w:rPr>
          <w:rFonts w:ascii="Times New Roman" w:hAnsi="Times New Roman" w:cs="Times New Roman"/>
          <w:sz w:val="24"/>
        </w:rPr>
        <w:t>与关键词聚类，</w:t>
      </w:r>
      <w:proofErr w:type="gramStart"/>
      <w:r w:rsidRPr="007A1E39">
        <w:rPr>
          <w:rFonts w:ascii="Times New Roman" w:hAnsi="Times New Roman" w:cs="Times New Roman"/>
          <w:sz w:val="24"/>
        </w:rPr>
        <w:t>将领域</w:t>
      </w:r>
      <w:proofErr w:type="gramEnd"/>
      <w:r w:rsidRPr="007A1E39">
        <w:rPr>
          <w:rFonts w:ascii="Times New Roman" w:hAnsi="Times New Roman" w:cs="Times New Roman"/>
          <w:sz w:val="24"/>
        </w:rPr>
        <w:t>热点从模糊分布转化为清晰的网络化定量结构。</w:t>
      </w:r>
    </w:p>
    <w:p w14:paraId="53B0F845" w14:textId="77777777" w:rsidR="00E57C42" w:rsidRPr="007A1E39" w:rsidRDefault="00E57C42" w:rsidP="00E57C42">
      <w:pPr>
        <w:pStyle w:val="a9"/>
        <w:numPr>
          <w:ilvl w:val="0"/>
          <w:numId w:val="5"/>
        </w:numPr>
        <w:spacing w:after="0" w:line="240" w:lineRule="auto"/>
        <w:contextualSpacing w:val="0"/>
        <w:jc w:val="both"/>
        <w:rPr>
          <w:rFonts w:ascii="Times New Roman" w:hAnsi="Times New Roman" w:cs="Times New Roman"/>
          <w:sz w:val="24"/>
        </w:rPr>
      </w:pPr>
      <w:r w:rsidRPr="007A1E39">
        <w:rPr>
          <w:rFonts w:ascii="Times New Roman" w:hAnsi="Times New Roman" w:cs="Times New Roman"/>
          <w:sz w:val="24"/>
        </w:rPr>
        <w:t>强调</w:t>
      </w:r>
      <w:r w:rsidRPr="007A1E39">
        <w:rPr>
          <w:rFonts w:ascii="Times New Roman" w:hAnsi="Times New Roman" w:cs="Times New Roman"/>
          <w:sz w:val="24"/>
        </w:rPr>
        <w:t>“</w:t>
      </w:r>
      <w:r w:rsidRPr="007A1E39">
        <w:rPr>
          <w:rFonts w:ascii="Times New Roman" w:hAnsi="Times New Roman" w:cs="Times New Roman"/>
          <w:sz w:val="24"/>
        </w:rPr>
        <w:t>认知</w:t>
      </w:r>
      <w:r w:rsidRPr="007A1E39">
        <w:rPr>
          <w:rFonts w:ascii="Times New Roman" w:hAnsi="Times New Roman" w:cs="Times New Roman"/>
          <w:sz w:val="24"/>
        </w:rPr>
        <w:t>-</w:t>
      </w:r>
      <w:r w:rsidRPr="007A1E39">
        <w:rPr>
          <w:rFonts w:ascii="Times New Roman" w:hAnsi="Times New Roman" w:cs="Times New Roman"/>
          <w:sz w:val="24"/>
        </w:rPr>
        <w:t>决策</w:t>
      </w:r>
      <w:r w:rsidRPr="007A1E39">
        <w:rPr>
          <w:rFonts w:ascii="Times New Roman" w:hAnsi="Times New Roman" w:cs="Times New Roman"/>
          <w:sz w:val="24"/>
        </w:rPr>
        <w:t>”</w:t>
      </w:r>
      <w:r w:rsidRPr="007A1E39">
        <w:rPr>
          <w:rFonts w:ascii="Times New Roman" w:hAnsi="Times New Roman" w:cs="Times New Roman"/>
          <w:sz w:val="24"/>
        </w:rPr>
        <w:t>协同与工程落地：超越单一技术讨论，重点论证了</w:t>
      </w:r>
      <w:r w:rsidRPr="007A1E39">
        <w:rPr>
          <w:rFonts w:ascii="Times New Roman" w:hAnsi="Times New Roman" w:cs="Times New Roman"/>
          <w:sz w:val="24"/>
        </w:rPr>
        <w:t>AI</w:t>
      </w:r>
      <w:r w:rsidRPr="007A1E39">
        <w:rPr>
          <w:rFonts w:ascii="Times New Roman" w:hAnsi="Times New Roman" w:cs="Times New Roman"/>
          <w:sz w:val="24"/>
        </w:rPr>
        <w:t>与数学优化结合的必要性，并直面数据孤岛、模型泛化等实际工程瓶颈提出解决方案。</w:t>
      </w:r>
    </w:p>
    <w:p w14:paraId="2FB3B34B" w14:textId="77777777" w:rsidR="00E57C42" w:rsidRPr="00E57C42" w:rsidRDefault="00E57C42" w:rsidP="002A0F53">
      <w:pPr>
        <w:ind w:firstLine="420"/>
        <w:jc w:val="both"/>
        <w:rPr>
          <w:rFonts w:ascii="宋体" w:eastAsia="宋体" w:hAnsi="宋体" w:hint="eastAsia"/>
          <w:sz w:val="24"/>
        </w:rPr>
      </w:pPr>
    </w:p>
    <w:p w14:paraId="0EEDD8A3" w14:textId="38ED5349" w:rsidR="0031361F" w:rsidRPr="004C748D" w:rsidRDefault="00C014A7" w:rsidP="00583AA0">
      <w:pPr>
        <w:jc w:val="both"/>
        <w:rPr>
          <w:rFonts w:ascii="宋体" w:eastAsia="宋体" w:hAnsi="宋体" w:hint="eastAsia"/>
          <w:sz w:val="24"/>
        </w:rPr>
      </w:pPr>
      <w:r w:rsidRPr="004C748D">
        <w:rPr>
          <w:rFonts w:ascii="宋体" w:eastAsia="宋体" w:hAnsi="宋体" w:hint="eastAsia"/>
          <w:sz w:val="24"/>
        </w:rPr>
        <w:t>2.</w:t>
      </w:r>
      <w:r w:rsidR="0031361F" w:rsidRPr="004C748D">
        <w:rPr>
          <w:rFonts w:ascii="宋体" w:eastAsia="宋体" w:hAnsi="宋体" w:hint="eastAsia"/>
          <w:sz w:val="24"/>
        </w:rPr>
        <w:t>研究方法</w:t>
      </w:r>
    </w:p>
    <w:p w14:paraId="313CC4E4" w14:textId="77777777" w:rsidR="002A0F53" w:rsidRDefault="00FC19F9" w:rsidP="002A0F53">
      <w:pPr>
        <w:ind w:firstLine="420"/>
        <w:jc w:val="both"/>
        <w:rPr>
          <w:rFonts w:ascii="宋体" w:eastAsia="宋体" w:hAnsi="宋体" w:hint="eastAsia"/>
          <w:sz w:val="24"/>
        </w:rPr>
      </w:pPr>
      <w:r w:rsidRPr="00FC19F9">
        <w:rPr>
          <w:rFonts w:ascii="宋体" w:eastAsia="宋体" w:hAnsi="宋体"/>
          <w:sz w:val="24"/>
        </w:rPr>
        <w:t>鉴于油田智能开发涉及石油工程、计算机科学、地质学及运筹学等多个学科的深度交叉融合，传统的定性文献综述方法难以客观、全面地捕捉该领域快速迭代的动态演化与复杂知识结构。为此，本研究构建了一套严谨的科学计量学分析框架，旨在通过数据挖掘技术揭示隐藏在海量文献背后的学术脉络与技术趋势。不同于常规的文献分析，本研究不仅依赖主流的可视化软件，更创新性地引入了基于Dart编程语言的自定义数据处理工具链。这一方法论的创新在于利用编程脚本对原始多源异构数据进行深度的清洗、去噪</w:t>
      </w:r>
      <w:r w:rsidR="002A0F53">
        <w:rPr>
          <w:rFonts w:ascii="宋体" w:eastAsia="宋体" w:hAnsi="宋体" w:hint="eastAsia"/>
          <w:sz w:val="24"/>
        </w:rPr>
        <w:t>声</w:t>
      </w:r>
      <w:r w:rsidRPr="00FC19F9">
        <w:rPr>
          <w:rFonts w:ascii="宋体" w:eastAsia="宋体" w:hAnsi="宋体"/>
          <w:sz w:val="24"/>
        </w:rPr>
        <w:t>与标准化处理，有效克服了传统手工筛选的局限性，确保了后续分析样本的高精度与一致性。在此基础上，结合</w:t>
      </w:r>
      <w:proofErr w:type="spellStart"/>
      <w:r w:rsidRPr="00FC19F9">
        <w:rPr>
          <w:rFonts w:ascii="宋体" w:eastAsia="宋体" w:hAnsi="宋体"/>
          <w:sz w:val="24"/>
        </w:rPr>
        <w:t>VOSviewer</w:t>
      </w:r>
      <w:proofErr w:type="spellEnd"/>
      <w:r w:rsidRPr="00FC19F9">
        <w:rPr>
          <w:rFonts w:ascii="宋体" w:eastAsia="宋体" w:hAnsi="宋体"/>
          <w:sz w:val="24"/>
        </w:rPr>
        <w:t>软件的复杂网络聚类算法，实现了对</w:t>
      </w:r>
      <w:r w:rsidR="002A0F53">
        <w:rPr>
          <w:rFonts w:ascii="宋体" w:eastAsia="宋体" w:hAnsi="宋体" w:hint="eastAsia"/>
          <w:sz w:val="24"/>
        </w:rPr>
        <w:t>该</w:t>
      </w:r>
      <w:r w:rsidRPr="00FC19F9">
        <w:rPr>
          <w:rFonts w:ascii="宋体" w:eastAsia="宋体" w:hAnsi="宋体"/>
          <w:sz w:val="24"/>
        </w:rPr>
        <w:t>领域热点从“点状分布”到“网状结构”的系统性解构。</w:t>
      </w:r>
    </w:p>
    <w:p w14:paraId="6F85A660" w14:textId="6DF70D94" w:rsidR="00FD57E9" w:rsidRPr="00FC19F9" w:rsidRDefault="007A5043" w:rsidP="002A0F53">
      <w:pPr>
        <w:ind w:firstLine="420"/>
        <w:jc w:val="both"/>
        <w:rPr>
          <w:rFonts w:ascii="宋体" w:eastAsia="宋体" w:hAnsi="宋体" w:hint="eastAsia"/>
          <w:sz w:val="24"/>
        </w:rPr>
      </w:pPr>
      <w:r w:rsidRPr="00FC19F9">
        <w:rPr>
          <w:rFonts w:ascii="宋体" w:eastAsia="宋体" w:hAnsi="宋体"/>
          <w:sz w:val="24"/>
        </w:rPr>
        <w:t>研究技术路线</w:t>
      </w:r>
      <w:r w:rsidR="00FC19F9" w:rsidRPr="00FC19F9">
        <w:rPr>
          <w:rFonts w:ascii="宋体" w:eastAsia="宋体" w:hAnsi="宋体"/>
          <w:sz w:val="24"/>
        </w:rPr>
        <w:t>如图2所示，本研究的整体架构设计遵循逻辑严密的“数据捕获—清洗预处理—计量建模—结构可视化”四阶段流程。该技术路线不仅保证了</w:t>
      </w:r>
      <w:r w:rsidR="00FC19F9" w:rsidRPr="00FC19F9">
        <w:rPr>
          <w:rFonts w:ascii="宋体" w:eastAsia="宋体" w:hAnsi="宋体"/>
          <w:sz w:val="24"/>
        </w:rPr>
        <w:lastRenderedPageBreak/>
        <w:t>研究结论的可复现性，也为解析智能油田从“数据感知”向“决策优化”转型的“双核驱动”模式提供了坚实的方法论支撑。</w:t>
      </w:r>
    </w:p>
    <w:p w14:paraId="55C6B85B" w14:textId="62869D58" w:rsidR="006C31E8" w:rsidRDefault="009D7568" w:rsidP="00CD7029">
      <w:pPr>
        <w:jc w:val="both"/>
        <w:rPr>
          <w:rFonts w:ascii="宋体" w:eastAsia="宋体" w:hAnsi="宋体" w:hint="eastAsia"/>
          <w:sz w:val="24"/>
        </w:rPr>
      </w:pPr>
      <w:r w:rsidRPr="009D7568">
        <w:rPr>
          <w:rFonts w:ascii="宋体" w:eastAsia="宋体" w:hAnsi="宋体"/>
          <w:noProof/>
          <w:sz w:val="24"/>
        </w:rPr>
        <w:drawing>
          <wp:inline distT="0" distB="0" distL="0" distR="0" wp14:anchorId="614F16A1" wp14:editId="4E1D084C">
            <wp:extent cx="5274310" cy="2926080"/>
            <wp:effectExtent l="0" t="0" r="2540" b="7620"/>
            <wp:docPr id="1409507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7515" name=""/>
                    <pic:cNvPicPr/>
                  </pic:nvPicPr>
                  <pic:blipFill rotWithShape="1">
                    <a:blip r:embed="rId11"/>
                    <a:srcRect b="1433"/>
                    <a:stretch>
                      <a:fillRect/>
                    </a:stretch>
                  </pic:blipFill>
                  <pic:spPr bwMode="auto">
                    <a:xfrm>
                      <a:off x="0" y="0"/>
                      <a:ext cx="5274310" cy="2926080"/>
                    </a:xfrm>
                    <a:prstGeom prst="rect">
                      <a:avLst/>
                    </a:prstGeom>
                    <a:ln>
                      <a:noFill/>
                    </a:ln>
                    <a:extLst>
                      <a:ext uri="{53640926-AAD7-44D8-BBD7-CCE9431645EC}">
                        <a14:shadowObscured xmlns:a14="http://schemas.microsoft.com/office/drawing/2010/main"/>
                      </a:ext>
                    </a:extLst>
                  </pic:spPr>
                </pic:pic>
              </a:graphicData>
            </a:graphic>
          </wp:inline>
        </w:drawing>
      </w:r>
    </w:p>
    <w:p w14:paraId="4AA2C89F" w14:textId="6CE02F5B" w:rsidR="00E235BA" w:rsidRPr="004C748D" w:rsidRDefault="00E235BA" w:rsidP="00CD7029">
      <w:pPr>
        <w:ind w:firstLine="420"/>
        <w:jc w:val="center"/>
        <w:rPr>
          <w:rFonts w:ascii="宋体" w:eastAsia="宋体" w:hAnsi="宋体" w:hint="eastAsia"/>
          <w:sz w:val="24"/>
        </w:rPr>
      </w:pPr>
      <w:r w:rsidRPr="004C748D">
        <w:rPr>
          <w:rFonts w:ascii="宋体" w:eastAsia="宋体" w:hAnsi="宋体" w:hint="eastAsia"/>
          <w:sz w:val="24"/>
        </w:rPr>
        <w:t>图2：研究技术路线图</w:t>
      </w:r>
    </w:p>
    <w:p w14:paraId="32A5D3BE" w14:textId="39D0E120" w:rsidR="002A0F53" w:rsidRPr="002A0F53" w:rsidRDefault="002A0F53" w:rsidP="002A0F53">
      <w:pPr>
        <w:ind w:firstLine="420"/>
        <w:jc w:val="both"/>
        <w:rPr>
          <w:rFonts w:ascii="宋体" w:eastAsia="宋体" w:hAnsi="宋体" w:hint="eastAsia"/>
          <w:sz w:val="24"/>
        </w:rPr>
      </w:pPr>
      <w:r w:rsidRPr="002A0F53">
        <w:rPr>
          <w:rFonts w:ascii="宋体" w:eastAsia="宋体" w:hAnsi="宋体"/>
          <w:b/>
          <w:bCs/>
          <w:sz w:val="24"/>
        </w:rPr>
        <w:t>第一阶段：数据获取与检索策略（Data Acquisition）</w:t>
      </w:r>
      <w:r w:rsidRPr="002A0F53">
        <w:rPr>
          <w:rFonts w:ascii="宋体" w:eastAsia="宋体" w:hAnsi="宋体"/>
          <w:sz w:val="24"/>
        </w:rPr>
        <w:t>，本研究的数据源选定为Web of Science（WOS）核心合集数据库。为了确保检索结果的查全率与查准率，本研究制定了严格的检索策略：采用主题词（Topic）、标题（Title）、摘要（Abstract）与关键词（Author Keywords）相结合的方式，检索式设定为</w:t>
      </w:r>
      <w:r w:rsidRPr="004C748D">
        <w:rPr>
          <w:rFonts w:ascii="宋体" w:eastAsia="宋体" w:hAnsi="宋体"/>
          <w:sz w:val="24"/>
        </w:rPr>
        <w:t>TS=("Smart Oilfield" OR "Intelligent Oilfield")</w:t>
      </w:r>
      <w:r w:rsidRPr="004C748D">
        <w:rPr>
          <w:rFonts w:ascii="宋体" w:eastAsia="宋体" w:hAnsi="宋体" w:hint="eastAsia"/>
          <w:sz w:val="24"/>
        </w:rPr>
        <w:t xml:space="preserve"> </w:t>
      </w:r>
      <w:r w:rsidRPr="004C748D">
        <w:rPr>
          <w:rFonts w:ascii="宋体" w:eastAsia="宋体" w:hAnsi="宋体"/>
          <w:sz w:val="24"/>
        </w:rPr>
        <w:t>OR TI=("Smart Oilfield")</w:t>
      </w:r>
      <w:r w:rsidRPr="004C748D">
        <w:rPr>
          <w:rFonts w:ascii="宋体" w:eastAsia="宋体" w:hAnsi="宋体" w:hint="eastAsia"/>
          <w:sz w:val="24"/>
        </w:rPr>
        <w:t xml:space="preserve"> </w:t>
      </w:r>
      <w:r w:rsidRPr="004C748D">
        <w:rPr>
          <w:rFonts w:ascii="宋体" w:eastAsia="宋体" w:hAnsi="宋体"/>
          <w:sz w:val="24"/>
        </w:rPr>
        <w:t>OR AB=("Smart Oilfield")</w:t>
      </w:r>
      <w:r w:rsidRPr="004C748D">
        <w:rPr>
          <w:rFonts w:ascii="宋体" w:eastAsia="宋体" w:hAnsi="宋体" w:hint="eastAsia"/>
          <w:sz w:val="24"/>
        </w:rPr>
        <w:t xml:space="preserve"> </w:t>
      </w:r>
      <w:r w:rsidRPr="004C748D">
        <w:rPr>
          <w:rFonts w:ascii="宋体" w:eastAsia="宋体" w:hAnsi="宋体"/>
          <w:sz w:val="24"/>
        </w:rPr>
        <w:t>OR AK =("Smart Oilfield")</w:t>
      </w:r>
      <w:r w:rsidRPr="002A0F53">
        <w:rPr>
          <w:rFonts w:ascii="宋体" w:eastAsia="宋体" w:hAnsi="宋体"/>
          <w:sz w:val="24"/>
        </w:rPr>
        <w:t>等组合。同时，为保证研究样本的学术质量与国际可比性，将文献类型限定为Article（研究论文）和Bibliography，语言严格限定为英语。</w:t>
      </w:r>
    </w:p>
    <w:p w14:paraId="1EB8F6F1" w14:textId="54F75DBF" w:rsidR="002A0F53" w:rsidRPr="002A0F53" w:rsidRDefault="002A0F53" w:rsidP="002A0F53">
      <w:pPr>
        <w:ind w:firstLine="420"/>
        <w:jc w:val="both"/>
        <w:rPr>
          <w:rFonts w:ascii="宋体" w:eastAsia="宋体" w:hAnsi="宋体" w:hint="eastAsia"/>
          <w:sz w:val="24"/>
        </w:rPr>
      </w:pPr>
      <w:r w:rsidRPr="002A0F53">
        <w:rPr>
          <w:rFonts w:ascii="宋体" w:eastAsia="宋体" w:hAnsi="宋体"/>
          <w:b/>
          <w:bCs/>
          <w:sz w:val="24"/>
        </w:rPr>
        <w:t>第二阶段：筛选与自定义预处理（Screening &amp; Unique Pre-processing）</w:t>
      </w:r>
      <w:r w:rsidRPr="002A0F53">
        <w:rPr>
          <w:rFonts w:ascii="宋体" w:eastAsia="宋体" w:hAnsi="宋体"/>
          <w:sz w:val="24"/>
        </w:rPr>
        <w:t>数据清洗是保证计量分析准确性的关键环节。如图2中部的“漏斗”与“齿轮”模块所示，本研究首先对初步检索文献进行人工筛选与去重，剔除新闻报道、会议摘要及非学术性文本。</w:t>
      </w:r>
      <w:r>
        <w:rPr>
          <w:rFonts w:ascii="宋体" w:eastAsia="宋体" w:hAnsi="宋体" w:hint="eastAsia"/>
          <w:sz w:val="24"/>
        </w:rPr>
        <w:t>并</w:t>
      </w:r>
      <w:r w:rsidRPr="002A0F53">
        <w:rPr>
          <w:rFonts w:ascii="宋体" w:eastAsia="宋体" w:hAnsi="宋体"/>
          <w:sz w:val="24"/>
        </w:rPr>
        <w:t>针对原始数据中存在的格式不统一、字段缺失等问题，本研究引入了Dart工具链进行深度预处理。不同于传统的直接导入分析，</w:t>
      </w:r>
      <w:r>
        <w:rPr>
          <w:rFonts w:ascii="宋体" w:eastAsia="宋体" w:hAnsi="宋体" w:hint="eastAsia"/>
          <w:sz w:val="24"/>
        </w:rPr>
        <w:t>并</w:t>
      </w:r>
      <w:r w:rsidRPr="002A0F53">
        <w:rPr>
          <w:rFonts w:ascii="宋体" w:eastAsia="宋体" w:hAnsi="宋体"/>
          <w:sz w:val="24"/>
        </w:rPr>
        <w:t>编写了专用的Dart脚本程序，对下载的Excel格式原始题录数据进行清洗、字段标准化及统计预处理。这一独特的“Dart因子”处理流程，</w:t>
      </w:r>
      <w:r>
        <w:rPr>
          <w:rFonts w:ascii="宋体" w:eastAsia="宋体" w:hAnsi="宋体" w:hint="eastAsia"/>
          <w:sz w:val="24"/>
        </w:rPr>
        <w:t>能</w:t>
      </w:r>
      <w:r w:rsidRPr="002A0F53">
        <w:rPr>
          <w:rFonts w:ascii="宋体" w:eastAsia="宋体" w:hAnsi="宋体"/>
          <w:sz w:val="24"/>
        </w:rPr>
        <w:t>有效解决多源异构数据的兼容性问题，最终确定了225篇高质量核心文献作为研究样本。</w:t>
      </w:r>
    </w:p>
    <w:p w14:paraId="38E64A00" w14:textId="45C0B6DA" w:rsidR="002A0F53" w:rsidRPr="00064E88" w:rsidRDefault="002A0F53" w:rsidP="00064E88">
      <w:pPr>
        <w:ind w:firstLine="420"/>
        <w:rPr>
          <w:rFonts w:ascii="Times New Roman" w:eastAsia="宋体" w:hAnsi="Times New Roman" w:cs="Times New Roman"/>
          <w:sz w:val="24"/>
        </w:rPr>
      </w:pPr>
      <w:r w:rsidRPr="002A0F53">
        <w:rPr>
          <w:rFonts w:ascii="宋体" w:eastAsia="宋体" w:hAnsi="宋体"/>
          <w:b/>
          <w:bCs/>
          <w:sz w:val="24"/>
        </w:rPr>
        <w:t>第三阶段：计量分析与建模（</w:t>
      </w:r>
      <w:proofErr w:type="spellStart"/>
      <w:r w:rsidRPr="002A0F53">
        <w:rPr>
          <w:rFonts w:ascii="宋体" w:eastAsia="宋体" w:hAnsi="宋体"/>
          <w:b/>
          <w:bCs/>
          <w:sz w:val="24"/>
        </w:rPr>
        <w:t>Scientometric</w:t>
      </w:r>
      <w:proofErr w:type="spellEnd"/>
      <w:r w:rsidRPr="002A0F53">
        <w:rPr>
          <w:rFonts w:ascii="宋体" w:eastAsia="宋体" w:hAnsi="宋体"/>
          <w:b/>
          <w:bCs/>
          <w:sz w:val="24"/>
        </w:rPr>
        <w:t xml:space="preserve"> Analysis）</w:t>
      </w:r>
      <w:r w:rsidRPr="002A0F53">
        <w:rPr>
          <w:rFonts w:ascii="宋体" w:eastAsia="宋体" w:hAnsi="宋体"/>
          <w:sz w:val="24"/>
        </w:rPr>
        <w:t>经过标准化的数据被导入</w:t>
      </w:r>
      <w:proofErr w:type="spellStart"/>
      <w:r w:rsidRPr="002A0F53">
        <w:rPr>
          <w:rFonts w:ascii="宋体" w:eastAsia="宋体" w:hAnsi="宋体"/>
          <w:sz w:val="24"/>
        </w:rPr>
        <w:t>VOSviewer</w:t>
      </w:r>
      <w:proofErr w:type="spellEnd"/>
      <w:r w:rsidRPr="002A0F53">
        <w:rPr>
          <w:rFonts w:ascii="宋体" w:eastAsia="宋体" w:hAnsi="宋体"/>
          <w:sz w:val="24"/>
        </w:rPr>
        <w:t>软件进行定量分析。如图2所示，本阶段主要开展了三个维度的分析工作：一是引文分析（Citation Analysis），梳理核心学术脉络；二是共被引分析（Co-citation Analysis），揭示知识基础与学术传承；三是关</w:t>
      </w:r>
      <w:r w:rsidRPr="002A0F53">
        <w:rPr>
          <w:rFonts w:ascii="宋体" w:eastAsia="宋体" w:hAnsi="宋体"/>
          <w:sz w:val="24"/>
        </w:rPr>
        <w:lastRenderedPageBreak/>
        <w:t>键词聚类（Keyword Clustering），识别研究热点的演化规律。通过构建复杂的网络矩阵，量化不同学术节点间的关联强度。</w:t>
      </w:r>
      <w:proofErr w:type="spellStart"/>
      <w:r w:rsidR="00064E88" w:rsidRPr="00064E88">
        <w:rPr>
          <w:rFonts w:ascii="Times New Roman" w:eastAsia="宋体" w:hAnsi="Times New Roman" w:cs="Times New Roman"/>
          <w:color w:val="0000FF"/>
          <w:sz w:val="24"/>
        </w:rPr>
        <w:t>VOS</w:t>
      </w:r>
      <w:r w:rsidR="00064E88" w:rsidRPr="00064E88">
        <w:rPr>
          <w:rFonts w:ascii="Times New Roman" w:eastAsia="宋体" w:hAnsi="Times New Roman" w:cs="Times New Roman" w:hint="eastAsia"/>
          <w:color w:val="0000FF"/>
          <w:sz w:val="24"/>
        </w:rPr>
        <w:t>V</w:t>
      </w:r>
      <w:r w:rsidR="00064E88" w:rsidRPr="00064E88">
        <w:rPr>
          <w:rFonts w:ascii="Times New Roman" w:eastAsia="宋体" w:hAnsi="Times New Roman" w:cs="Times New Roman"/>
          <w:color w:val="0000FF"/>
          <w:sz w:val="24"/>
        </w:rPr>
        <w:t>iewer</w:t>
      </w:r>
      <w:proofErr w:type="spellEnd"/>
      <w:r w:rsidR="00064E88" w:rsidRPr="00064E88">
        <w:rPr>
          <w:rFonts w:ascii="Times New Roman" w:eastAsia="宋体" w:hAnsi="Times New Roman" w:cs="Times New Roman"/>
          <w:color w:val="0000FF"/>
          <w:sz w:val="24"/>
        </w:rPr>
        <w:t>的聚类算法基于关联强度的算法，选取文本中高频关键词进行聚类分析，通过高频关键词来反映学科的研究主题。我们通过调整关键词共现频率阈值（从</w:t>
      </w:r>
      <w:r w:rsidR="00064E88" w:rsidRPr="00064E88">
        <w:rPr>
          <w:rFonts w:ascii="Times New Roman" w:eastAsia="宋体" w:hAnsi="Times New Roman" w:cs="Times New Roman"/>
          <w:color w:val="0000FF"/>
          <w:sz w:val="24"/>
        </w:rPr>
        <w:t>5</w:t>
      </w:r>
      <w:r w:rsidR="00064E88" w:rsidRPr="00064E88">
        <w:rPr>
          <w:rFonts w:ascii="Times New Roman" w:eastAsia="宋体" w:hAnsi="Times New Roman" w:cs="Times New Roman"/>
          <w:color w:val="0000FF"/>
          <w:sz w:val="24"/>
        </w:rPr>
        <w:t>次到</w:t>
      </w:r>
      <w:r w:rsidR="00064E88" w:rsidRPr="00064E88">
        <w:rPr>
          <w:rFonts w:ascii="Times New Roman" w:eastAsia="宋体" w:hAnsi="Times New Roman" w:cs="Times New Roman"/>
          <w:color w:val="0000FF"/>
          <w:sz w:val="24"/>
        </w:rPr>
        <w:t>15</w:t>
      </w:r>
      <w:r w:rsidR="00064E88" w:rsidRPr="00064E88">
        <w:rPr>
          <w:rFonts w:ascii="Times New Roman" w:eastAsia="宋体" w:hAnsi="Times New Roman" w:cs="Times New Roman"/>
          <w:color w:val="0000FF"/>
          <w:sz w:val="24"/>
        </w:rPr>
        <w:t>次）进行了敏感性测试，结果显示核心</w:t>
      </w:r>
      <w:r w:rsidR="00064E88" w:rsidRPr="00064E88">
        <w:rPr>
          <w:rFonts w:ascii="Times New Roman" w:eastAsia="宋体" w:hAnsi="Times New Roman" w:cs="Times New Roman"/>
          <w:color w:val="0000FF"/>
          <w:sz w:val="24"/>
        </w:rPr>
        <w:t>“</w:t>
      </w:r>
      <w:r w:rsidR="00064E88" w:rsidRPr="00064E88">
        <w:rPr>
          <w:rFonts w:ascii="Times New Roman" w:eastAsia="宋体" w:hAnsi="Times New Roman" w:cs="Times New Roman"/>
          <w:color w:val="0000FF"/>
          <w:sz w:val="24"/>
        </w:rPr>
        <w:t>双核</w:t>
      </w:r>
      <w:r w:rsidR="00064E88" w:rsidRPr="00064E88">
        <w:rPr>
          <w:rFonts w:ascii="Times New Roman" w:eastAsia="宋体" w:hAnsi="Times New Roman" w:cs="Times New Roman"/>
          <w:color w:val="0000FF"/>
          <w:sz w:val="24"/>
        </w:rPr>
        <w:t>”</w:t>
      </w:r>
      <w:r w:rsidR="00064E88" w:rsidRPr="00064E88">
        <w:rPr>
          <w:rFonts w:ascii="Times New Roman" w:eastAsia="宋体" w:hAnsi="Times New Roman" w:cs="Times New Roman"/>
          <w:color w:val="0000FF"/>
          <w:sz w:val="24"/>
        </w:rPr>
        <w:t>拓扑结构保持高度一致，排除了数据噪声的干扰。</w:t>
      </w:r>
    </w:p>
    <w:p w14:paraId="014FA285" w14:textId="2F00CC80" w:rsidR="002A0F53" w:rsidRDefault="002A0F53" w:rsidP="002A0F53">
      <w:pPr>
        <w:ind w:firstLine="420"/>
        <w:jc w:val="both"/>
        <w:rPr>
          <w:rFonts w:ascii="宋体" w:eastAsia="宋体" w:hAnsi="宋体" w:hint="eastAsia"/>
          <w:sz w:val="24"/>
        </w:rPr>
      </w:pPr>
      <w:r w:rsidRPr="002A0F53">
        <w:rPr>
          <w:rFonts w:ascii="宋体" w:eastAsia="宋体" w:hAnsi="宋体"/>
          <w:b/>
          <w:bCs/>
          <w:sz w:val="24"/>
        </w:rPr>
        <w:t>第四阶段：结果可视化与结构揭示（Outcome Visualization）</w:t>
      </w:r>
      <w:r w:rsidRPr="002A0F53">
        <w:rPr>
          <w:rFonts w:ascii="宋体" w:eastAsia="宋体" w:hAnsi="宋体"/>
          <w:sz w:val="24"/>
        </w:rPr>
        <w:t>研究的最终输出如图2右侧屏幕所示，旨在揭示该领域的深层知识结构。通过可视化图谱的构建，本研究清晰地识别出当前智能油田开发呈现出的“双核驱动”特征：即以“人工智能与深度学习”为代表的智能认知集群（图示红色区域），与以“运筹优化与模型预测”为代表的生产决策集群（图示绿色区域）。这两个集群相互交织，共同构成了当前油田智能开发的研究生态，为后续的结果讨论提供了坚实的数据支撑。</w:t>
      </w:r>
    </w:p>
    <w:p w14:paraId="2735F2BF" w14:textId="2CC226D8" w:rsidR="007C02EB" w:rsidRPr="004C748D" w:rsidRDefault="007C02EB" w:rsidP="00583AA0">
      <w:pPr>
        <w:jc w:val="both"/>
        <w:rPr>
          <w:rFonts w:ascii="宋体" w:eastAsia="宋体" w:hAnsi="宋体" w:hint="eastAsia"/>
          <w:sz w:val="24"/>
        </w:rPr>
      </w:pPr>
      <w:r w:rsidRPr="004C748D">
        <w:rPr>
          <w:rFonts w:ascii="宋体" w:eastAsia="宋体" w:hAnsi="宋体" w:hint="eastAsia"/>
          <w:sz w:val="24"/>
        </w:rPr>
        <w:t>3.</w:t>
      </w:r>
      <w:r w:rsidR="0031361F" w:rsidRPr="004C748D">
        <w:rPr>
          <w:rFonts w:ascii="宋体" w:eastAsia="宋体" w:hAnsi="宋体" w:hint="eastAsia"/>
          <w:sz w:val="24"/>
        </w:rPr>
        <w:t>结果与讨论</w:t>
      </w:r>
    </w:p>
    <w:p w14:paraId="42D2B342" w14:textId="36E0FF77" w:rsidR="00B77EF7" w:rsidRPr="004C748D" w:rsidRDefault="0031361F" w:rsidP="00583AA0">
      <w:pPr>
        <w:jc w:val="both"/>
        <w:rPr>
          <w:rFonts w:ascii="宋体" w:eastAsia="宋体" w:hAnsi="宋体" w:hint="eastAsia"/>
          <w:sz w:val="24"/>
        </w:rPr>
      </w:pPr>
      <w:r w:rsidRPr="004C748D">
        <w:rPr>
          <w:rFonts w:ascii="宋体" w:eastAsia="宋体" w:hAnsi="宋体" w:hint="eastAsia"/>
          <w:sz w:val="24"/>
        </w:rPr>
        <w:t>3.1研究</w:t>
      </w:r>
      <w:r w:rsidR="00E37466" w:rsidRPr="004C748D">
        <w:rPr>
          <w:rFonts w:ascii="宋体" w:eastAsia="宋体" w:hAnsi="宋体"/>
          <w:sz w:val="24"/>
        </w:rPr>
        <w:t>引文分析</w:t>
      </w:r>
    </w:p>
    <w:p w14:paraId="1BD70F9E" w14:textId="59BD56FE" w:rsidR="002F2B84" w:rsidRPr="004C748D" w:rsidRDefault="002F2B84" w:rsidP="00583AA0">
      <w:pPr>
        <w:ind w:firstLine="420"/>
        <w:jc w:val="both"/>
        <w:rPr>
          <w:rFonts w:ascii="宋体" w:eastAsia="宋体" w:hAnsi="宋体" w:hint="eastAsia"/>
          <w:sz w:val="24"/>
        </w:rPr>
      </w:pPr>
      <w:r w:rsidRPr="004C748D">
        <w:rPr>
          <w:rFonts w:ascii="宋体" w:eastAsia="宋体" w:hAnsi="宋体"/>
          <w:sz w:val="24"/>
        </w:rPr>
        <w:t>通过可视化，对油田智能开发领域的引文进行分析，涵盖出版年份、出版商、学科、研究领域及期刊分布，揭示学术动态与知识结构。</w:t>
      </w:r>
    </w:p>
    <w:p w14:paraId="6AC11B8D" w14:textId="7AC74CA8" w:rsidR="000661AF" w:rsidRPr="000661AF" w:rsidRDefault="004D23CC" w:rsidP="00641AA3">
      <w:pPr>
        <w:ind w:firstLine="420"/>
        <w:jc w:val="both"/>
        <w:rPr>
          <w:rFonts w:ascii="宋体" w:eastAsia="宋体" w:hAnsi="宋体" w:hint="eastAsia"/>
          <w:sz w:val="24"/>
        </w:rPr>
      </w:pPr>
      <w:r w:rsidRPr="004C748D">
        <w:rPr>
          <w:rFonts w:ascii="宋体" w:eastAsia="宋体" w:hAnsi="宋体" w:hint="eastAsia"/>
          <w:sz w:val="24"/>
        </w:rPr>
        <w:t>从2025年1月开始</w:t>
      </w:r>
      <w:r w:rsidRPr="004C748D">
        <w:rPr>
          <w:rFonts w:ascii="宋体" w:eastAsia="宋体" w:hAnsi="宋体"/>
          <w:sz w:val="24"/>
        </w:rPr>
        <w:t>截至202</w:t>
      </w:r>
      <w:r w:rsidR="006C31E8">
        <w:rPr>
          <w:rFonts w:ascii="宋体" w:eastAsia="宋体" w:hAnsi="宋体"/>
          <w:sz w:val="24"/>
        </w:rPr>
        <w:t>5</w:t>
      </w:r>
      <w:r w:rsidRPr="004C748D">
        <w:rPr>
          <w:rFonts w:ascii="宋体" w:eastAsia="宋体" w:hAnsi="宋体"/>
          <w:sz w:val="24"/>
        </w:rPr>
        <w:t>年1</w:t>
      </w:r>
      <w:r w:rsidR="006C31E8">
        <w:rPr>
          <w:rFonts w:ascii="宋体" w:eastAsia="宋体" w:hAnsi="宋体"/>
          <w:sz w:val="24"/>
        </w:rPr>
        <w:t>2</w:t>
      </w:r>
      <w:r w:rsidRPr="004C748D">
        <w:rPr>
          <w:rFonts w:ascii="宋体" w:eastAsia="宋体" w:hAnsi="宋体"/>
          <w:sz w:val="24"/>
        </w:rPr>
        <w:t>月</w:t>
      </w:r>
      <w:r w:rsidR="006C31E8">
        <w:rPr>
          <w:rFonts w:ascii="宋体" w:eastAsia="宋体" w:hAnsi="宋体"/>
          <w:sz w:val="24"/>
        </w:rPr>
        <w:t>31</w:t>
      </w:r>
      <w:r w:rsidRPr="004C748D">
        <w:rPr>
          <w:rFonts w:ascii="宋体" w:eastAsia="宋体" w:hAnsi="宋体"/>
          <w:sz w:val="24"/>
        </w:rPr>
        <w:t>日统计，数据库中关于智能油田开发的相关文献呈现出</w:t>
      </w:r>
      <w:r w:rsidRPr="004C748D">
        <w:rPr>
          <w:rFonts w:ascii="宋体" w:eastAsia="宋体" w:hAnsi="宋体" w:hint="eastAsia"/>
          <w:sz w:val="24"/>
        </w:rPr>
        <w:t>如图3所示的</w:t>
      </w:r>
      <w:r w:rsidRPr="004C748D">
        <w:rPr>
          <w:rFonts w:ascii="宋体" w:eastAsia="宋体" w:hAnsi="宋体"/>
          <w:sz w:val="24"/>
        </w:rPr>
        <w:t>显著增长趋势。</w:t>
      </w:r>
      <w:r w:rsidR="00B45F02" w:rsidRPr="004C748D">
        <w:rPr>
          <w:rFonts w:ascii="宋体" w:eastAsia="宋体" w:hAnsi="宋体"/>
          <w:sz w:val="24"/>
        </w:rPr>
        <w:t>若将年份作为自变量x、发文量作为因变量y，采用2015–2025年共11个完整数据点进行分析。经Pearson相关系数计算，r</w:t>
      </w:r>
      <w:r w:rsidR="00B45F02" w:rsidRPr="004C748D">
        <w:rPr>
          <w:rFonts w:ascii="宋体" w:eastAsia="宋体" w:hAnsi="宋体" w:hint="eastAsia"/>
          <w:sz w:val="24"/>
        </w:rPr>
        <w:t xml:space="preserve"> </w:t>
      </w:r>
      <w:r w:rsidR="00B45F02" w:rsidRPr="004C748D">
        <w:rPr>
          <w:rFonts w:ascii="宋体" w:eastAsia="宋体" w:hAnsi="宋体"/>
          <w:sz w:val="24"/>
        </w:rPr>
        <w:t>=</w:t>
      </w:r>
      <w:r w:rsidR="00B45F02" w:rsidRPr="004C748D">
        <w:rPr>
          <w:rFonts w:ascii="宋体" w:eastAsia="宋体" w:hAnsi="宋体" w:hint="eastAsia"/>
          <w:sz w:val="24"/>
        </w:rPr>
        <w:t xml:space="preserve"> </w:t>
      </w:r>
      <w:r w:rsidR="00B45F02" w:rsidRPr="004C748D">
        <w:rPr>
          <w:rFonts w:ascii="宋体" w:eastAsia="宋体" w:hAnsi="宋体"/>
          <w:sz w:val="24"/>
        </w:rPr>
        <w:t>0.9291，p-value</w:t>
      </w:r>
      <w:r w:rsidR="00B45F02" w:rsidRPr="004C748D">
        <w:rPr>
          <w:rFonts w:ascii="宋体" w:eastAsia="宋体" w:hAnsi="宋体" w:hint="eastAsia"/>
          <w:sz w:val="24"/>
        </w:rPr>
        <w:t xml:space="preserve"> </w:t>
      </w:r>
      <w:r w:rsidR="00B45F02" w:rsidRPr="004C748D">
        <w:rPr>
          <w:rFonts w:ascii="宋体" w:eastAsia="宋体" w:hAnsi="宋体"/>
          <w:sz w:val="24"/>
        </w:rPr>
        <w:t>≈</w:t>
      </w:r>
      <w:r w:rsidR="00B45F02" w:rsidRPr="004C748D">
        <w:rPr>
          <w:rFonts w:ascii="宋体" w:eastAsia="宋体" w:hAnsi="宋体" w:hint="eastAsia"/>
          <w:sz w:val="24"/>
        </w:rPr>
        <w:t xml:space="preserve"> </w:t>
      </w:r>
      <w:r w:rsidR="00B45F02" w:rsidRPr="004C748D">
        <w:rPr>
          <w:rFonts w:ascii="宋体" w:eastAsia="宋体" w:hAnsi="宋体"/>
          <w:sz w:val="24"/>
        </w:rPr>
        <w:t>3.55×10</w:t>
      </w:r>
      <w:r w:rsidR="00B45F02" w:rsidRPr="004C748D">
        <w:rPr>
          <w:rFonts w:ascii="Cambria Math" w:eastAsia="宋体" w:hAnsi="Cambria Math" w:cs="Cambria Math"/>
          <w:sz w:val="24"/>
        </w:rPr>
        <w:t>⁻⁵</w:t>
      </w:r>
      <w:r w:rsidR="00B45F02" w:rsidRPr="004C748D">
        <w:rPr>
          <w:rFonts w:ascii="宋体" w:eastAsia="宋体" w:hAnsi="宋体"/>
          <w:sz w:val="24"/>
        </w:rPr>
        <w:t>（极显著，p &lt; 0.001）。这一结果充分彰显智能油田领域研究产出随时间呈现高度线性、持续且强劲的增长态势。该强相关性不仅凸显了人工智能、大数据、优化调度等前沿技术在油</w:t>
      </w:r>
      <w:r w:rsidR="00FD7126" w:rsidRPr="004C748D">
        <w:rPr>
          <w:rFonts w:ascii="宋体" w:eastAsia="宋体" w:hAnsi="宋体" w:hint="eastAsia"/>
          <w:sz w:val="24"/>
        </w:rPr>
        <w:t>田</w:t>
      </w:r>
      <w:r w:rsidR="00B45F02" w:rsidRPr="004C748D">
        <w:rPr>
          <w:rFonts w:ascii="宋体" w:eastAsia="宋体" w:hAnsi="宋体"/>
          <w:sz w:val="24"/>
        </w:rPr>
        <w:t>开发中的加速深度渗透与广泛应用</w:t>
      </w:r>
      <w:r w:rsidR="00065425">
        <w:rPr>
          <w:rFonts w:ascii="宋体" w:eastAsia="宋体" w:hAnsi="宋体" w:hint="eastAsia"/>
          <w:sz w:val="24"/>
        </w:rPr>
        <w:t>[5]</w:t>
      </w:r>
      <w:r w:rsidR="00FD7126" w:rsidRPr="004C748D">
        <w:rPr>
          <w:rFonts w:ascii="宋体" w:eastAsia="宋体" w:hAnsi="宋体" w:hint="eastAsia"/>
          <w:sz w:val="24"/>
        </w:rPr>
        <w:t>，亦有文章称</w:t>
      </w:r>
      <w:r w:rsidR="00371465" w:rsidRPr="004C748D">
        <w:rPr>
          <w:rFonts w:ascii="宋体" w:eastAsia="宋体" w:hAnsi="宋体" w:hint="eastAsia"/>
          <w:sz w:val="24"/>
        </w:rPr>
        <w:t>此现象为</w:t>
      </w:r>
      <w:r w:rsidR="00FD7126" w:rsidRPr="004C748D">
        <w:rPr>
          <w:rFonts w:ascii="宋体" w:eastAsia="宋体" w:hAnsi="宋体" w:hint="eastAsia"/>
          <w:sz w:val="24"/>
        </w:rPr>
        <w:t>“重塑”[6]</w:t>
      </w:r>
      <w:r w:rsidR="00B45F02" w:rsidRPr="004C748D">
        <w:rPr>
          <w:rFonts w:ascii="宋体" w:eastAsia="宋体" w:hAnsi="宋体"/>
          <w:sz w:val="24"/>
        </w:rPr>
        <w:t>，</w:t>
      </w:r>
      <w:r w:rsidR="00FD7126" w:rsidRPr="004C748D">
        <w:rPr>
          <w:rFonts w:ascii="宋体" w:eastAsia="宋体" w:hAnsi="宋体" w:hint="eastAsia"/>
          <w:sz w:val="24"/>
        </w:rPr>
        <w:t>同时</w:t>
      </w:r>
      <w:r w:rsidR="00B45F02" w:rsidRPr="004C748D">
        <w:rPr>
          <w:rFonts w:ascii="宋体" w:eastAsia="宋体" w:hAnsi="宋体"/>
          <w:sz w:val="24"/>
        </w:rPr>
        <w:t>也预示着随着AI大模型等新一代智能技术的迅猛发展，该交叉领域将在未来持续繁荣并迎来更深层次的创新突破，展现出广阔的学术与产业前景。</w:t>
      </w:r>
    </w:p>
    <w:p w14:paraId="1AFDBDB0" w14:textId="620B68D2" w:rsidR="000661AF" w:rsidRDefault="000661AF" w:rsidP="00FD57E9">
      <w:pPr>
        <w:jc w:val="both"/>
        <w:rPr>
          <w:rFonts w:ascii="宋体" w:eastAsia="宋体" w:hAnsi="宋体" w:hint="eastAsia"/>
          <w:sz w:val="24"/>
        </w:rPr>
      </w:pPr>
      <w:commentRangeStart w:id="1"/>
      <w:r>
        <w:rPr>
          <w:noProof/>
        </w:rPr>
        <w:lastRenderedPageBreak/>
        <w:drawing>
          <wp:inline distT="0" distB="0" distL="0" distR="0" wp14:anchorId="5F13BF37" wp14:editId="3B3637A6">
            <wp:extent cx="5273475" cy="2846070"/>
            <wp:effectExtent l="0" t="0" r="3810" b="0"/>
            <wp:docPr id="2107212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a:ext>
                      </a:extLst>
                    </a:blip>
                    <a:srcRect t="13644"/>
                    <a:stretch/>
                  </pic:blipFill>
                  <pic:spPr bwMode="auto">
                    <a:xfrm>
                      <a:off x="0" y="0"/>
                      <a:ext cx="5274310" cy="284652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
      <w:r w:rsidR="00641AA3">
        <w:rPr>
          <w:rStyle w:val="af4"/>
        </w:rPr>
        <w:commentReference w:id="1"/>
      </w:r>
    </w:p>
    <w:p w14:paraId="43F732EB" w14:textId="6439DDC5" w:rsidR="004D23CC" w:rsidRPr="004C748D" w:rsidRDefault="004D23CC" w:rsidP="00FD57E9">
      <w:pPr>
        <w:jc w:val="both"/>
        <w:rPr>
          <w:rFonts w:ascii="宋体" w:eastAsia="宋体" w:hAnsi="宋体" w:hint="eastAsia"/>
          <w:sz w:val="24"/>
        </w:rPr>
      </w:pPr>
      <w:r w:rsidRPr="004C748D">
        <w:rPr>
          <w:rFonts w:ascii="宋体" w:eastAsia="宋体" w:hAnsi="宋体" w:hint="eastAsia"/>
          <w:sz w:val="24"/>
        </w:rPr>
        <w:t>图3：研究发文时间统计图</w:t>
      </w:r>
    </w:p>
    <w:p w14:paraId="79BE77C0" w14:textId="7856ED63" w:rsidR="000E2B21" w:rsidRPr="000E2B21" w:rsidRDefault="00527C58" w:rsidP="000E2B21">
      <w:pPr>
        <w:ind w:firstLine="420"/>
        <w:jc w:val="both"/>
        <w:rPr>
          <w:rFonts w:ascii="宋体" w:eastAsia="宋体" w:hAnsi="宋体" w:hint="eastAsia"/>
          <w:sz w:val="24"/>
        </w:rPr>
      </w:pPr>
      <w:r w:rsidRPr="004C748D">
        <w:rPr>
          <w:rFonts w:ascii="宋体" w:eastAsia="宋体" w:hAnsi="宋体"/>
          <w:sz w:val="24"/>
        </w:rPr>
        <w:t>智能油田开发的发文分布</w:t>
      </w:r>
      <w:r w:rsidRPr="004C748D">
        <w:rPr>
          <w:rFonts w:ascii="宋体" w:eastAsia="宋体" w:hAnsi="宋体" w:hint="eastAsia"/>
          <w:sz w:val="24"/>
        </w:rPr>
        <w:t>如图4词云图所示</w:t>
      </w:r>
      <w:r w:rsidR="002B529F">
        <w:rPr>
          <w:rFonts w:ascii="宋体" w:eastAsia="宋体" w:hAnsi="宋体" w:hint="eastAsia"/>
          <w:sz w:val="24"/>
        </w:rPr>
        <w:t>。</w:t>
      </w:r>
      <w:r w:rsidR="007875A0" w:rsidRPr="007875A0">
        <w:rPr>
          <w:rFonts w:ascii="Times New Roman" w:eastAsia="宋体" w:hAnsi="Times New Roman" w:cs="Times New Roman"/>
          <w:color w:val="0000FF"/>
          <w:sz w:val="24"/>
        </w:rPr>
        <w:t>词云图利用螺旋算法，能够将核心高频词与这些权重虽小但意义重大的前沿词汇共同置于同一视觉维度下（由于部分词权重极其小且词类涉及繁多，</w:t>
      </w:r>
      <w:r w:rsidR="007875A0">
        <w:rPr>
          <w:rFonts w:ascii="Times New Roman" w:eastAsia="宋体" w:hAnsi="Times New Roman" w:cs="Times New Roman" w:hint="eastAsia"/>
          <w:color w:val="0000FF"/>
          <w:sz w:val="24"/>
        </w:rPr>
        <w:t>考虑使用</w:t>
      </w:r>
      <w:r w:rsidR="007875A0" w:rsidRPr="007875A0">
        <w:rPr>
          <w:rFonts w:ascii="Times New Roman" w:eastAsia="宋体" w:hAnsi="Times New Roman" w:cs="Times New Roman"/>
          <w:color w:val="0000FF"/>
          <w:sz w:val="24"/>
        </w:rPr>
        <w:t>柱状图和</w:t>
      </w:r>
      <w:proofErr w:type="gramStart"/>
      <w:r w:rsidR="007875A0" w:rsidRPr="007875A0">
        <w:rPr>
          <w:rFonts w:ascii="Times New Roman" w:eastAsia="宋体" w:hAnsi="Times New Roman" w:cs="Times New Roman"/>
          <w:color w:val="0000FF"/>
          <w:sz w:val="24"/>
        </w:rPr>
        <w:t>帕累托图</w:t>
      </w:r>
      <w:proofErr w:type="gramEnd"/>
      <w:r w:rsidR="007875A0" w:rsidRPr="007875A0">
        <w:rPr>
          <w:rFonts w:ascii="Times New Roman" w:eastAsia="宋体" w:hAnsi="Times New Roman" w:cs="Times New Roman"/>
          <w:color w:val="0000FF"/>
          <w:sz w:val="24"/>
        </w:rPr>
        <w:t>可能效果不佳）避免了信息的碎片化，是</w:t>
      </w:r>
      <w:r w:rsidR="007875A0" w:rsidRPr="007875A0">
        <w:rPr>
          <w:rFonts w:ascii="Times New Roman" w:eastAsia="宋体" w:hAnsi="Times New Roman" w:cs="Times New Roman"/>
          <w:color w:val="0000FF"/>
          <w:sz w:val="24"/>
        </w:rPr>
        <w:t>“</w:t>
      </w:r>
      <w:r w:rsidR="007875A0" w:rsidRPr="007875A0">
        <w:rPr>
          <w:rFonts w:ascii="Times New Roman" w:eastAsia="宋体" w:hAnsi="Times New Roman" w:cs="Times New Roman"/>
          <w:color w:val="0000FF"/>
          <w:sz w:val="24"/>
        </w:rPr>
        <w:t>视觉全景</w:t>
      </w:r>
      <w:r w:rsidR="007875A0" w:rsidRPr="007875A0">
        <w:rPr>
          <w:rFonts w:ascii="Times New Roman" w:eastAsia="宋体" w:hAnsi="Times New Roman" w:cs="Times New Roman"/>
          <w:color w:val="0000FF"/>
          <w:sz w:val="24"/>
        </w:rPr>
        <w:t>+</w:t>
      </w:r>
      <w:r w:rsidR="007875A0" w:rsidRPr="007875A0">
        <w:rPr>
          <w:rFonts w:ascii="Times New Roman" w:eastAsia="宋体" w:hAnsi="Times New Roman" w:cs="Times New Roman"/>
          <w:color w:val="0000FF"/>
          <w:sz w:val="24"/>
        </w:rPr>
        <w:t>数据精测</w:t>
      </w:r>
      <w:r w:rsidR="007875A0" w:rsidRPr="007875A0">
        <w:rPr>
          <w:rFonts w:ascii="Times New Roman" w:eastAsia="宋体" w:hAnsi="Times New Roman" w:cs="Times New Roman"/>
          <w:color w:val="0000FF"/>
          <w:sz w:val="24"/>
        </w:rPr>
        <w:t>”</w:t>
      </w:r>
      <w:r w:rsidR="007875A0" w:rsidRPr="007875A0">
        <w:rPr>
          <w:rFonts w:ascii="Times New Roman" w:eastAsia="宋体" w:hAnsi="Times New Roman" w:cs="Times New Roman"/>
          <w:color w:val="0000FF"/>
          <w:sz w:val="24"/>
        </w:rPr>
        <w:t>的组合方式</w:t>
      </w:r>
      <w:r w:rsidR="007875A0" w:rsidRPr="007875A0">
        <w:rPr>
          <w:rFonts w:ascii="Times New Roman" w:eastAsia="宋体" w:hAnsi="Times New Roman" w:cs="Times New Roman" w:hint="eastAsia"/>
          <w:color w:val="0000FF"/>
          <w:sz w:val="24"/>
        </w:rPr>
        <w:t>。</w:t>
      </w:r>
      <w:r w:rsidR="002B529F">
        <w:rPr>
          <w:rFonts w:ascii="宋体" w:eastAsia="宋体" w:hAnsi="宋体" w:hint="eastAsia"/>
          <w:sz w:val="24"/>
        </w:rPr>
        <w:t>图4（a）</w:t>
      </w:r>
      <w:r w:rsidR="002B529F" w:rsidRPr="004C748D">
        <w:rPr>
          <w:rFonts w:ascii="宋体" w:eastAsia="宋体" w:hAnsi="宋体"/>
          <w:sz w:val="24"/>
        </w:rPr>
        <w:t>为</w:t>
      </w:r>
      <w:r w:rsidRPr="004C748D">
        <w:rPr>
          <w:rFonts w:ascii="宋体" w:eastAsia="宋体" w:hAnsi="宋体"/>
          <w:sz w:val="24"/>
        </w:rPr>
        <w:t>主要出版商分布，Elsevier、MDPI、Springer、Wiley、ACS等占据主导，表明智能油田研究高度集中于国际主流学术出版体系。</w:t>
      </w:r>
      <w:r w:rsidR="002B529F">
        <w:rPr>
          <w:rFonts w:ascii="宋体" w:eastAsia="宋体" w:hAnsi="宋体" w:hint="eastAsia"/>
          <w:sz w:val="24"/>
        </w:rPr>
        <w:t>图4（b）</w:t>
      </w:r>
      <w:r w:rsidRPr="004C748D">
        <w:rPr>
          <w:rFonts w:ascii="宋体" w:eastAsia="宋体" w:hAnsi="宋体"/>
          <w:sz w:val="24"/>
        </w:rPr>
        <w:t>为研究领域，以Engineering、Energy &amp; Fuels、Petroleum Engineering为核心，同时覆盖化学、材料、地学、物理与信息系统，体现显著的工程导向与多学科融合。</w:t>
      </w:r>
      <w:r w:rsidR="002B529F">
        <w:rPr>
          <w:rFonts w:ascii="宋体" w:eastAsia="宋体" w:hAnsi="宋体" w:hint="eastAsia"/>
          <w:sz w:val="24"/>
        </w:rPr>
        <w:t>图4（c）</w:t>
      </w:r>
      <w:r w:rsidRPr="004C748D">
        <w:rPr>
          <w:rFonts w:ascii="宋体" w:eastAsia="宋体" w:hAnsi="宋体"/>
          <w:sz w:val="24"/>
        </w:rPr>
        <w:t>展示期刊分布，Journal of Petroleum Science and Engineering、Energy &amp; Fuels、Petroleum Exploration and Development等为主要发表阵地，兼顾工程、能源与交叉应用。</w:t>
      </w:r>
      <w:r w:rsidR="002B529F">
        <w:rPr>
          <w:rFonts w:ascii="宋体" w:eastAsia="宋体" w:hAnsi="宋体" w:hint="eastAsia"/>
          <w:sz w:val="24"/>
        </w:rPr>
        <w:t>图4（d）</w:t>
      </w:r>
      <w:r w:rsidRPr="004C748D">
        <w:rPr>
          <w:rFonts w:ascii="宋体" w:eastAsia="宋体" w:hAnsi="宋体"/>
          <w:sz w:val="24"/>
        </w:rPr>
        <w:t>为学科</w:t>
      </w:r>
      <w:r w:rsidR="00B30825" w:rsidRPr="004C748D">
        <w:rPr>
          <w:rFonts w:ascii="宋体" w:eastAsia="宋体" w:hAnsi="宋体" w:hint="eastAsia"/>
          <w:sz w:val="24"/>
        </w:rPr>
        <w:t>分布</w:t>
      </w:r>
      <w:r w:rsidRPr="004C748D">
        <w:rPr>
          <w:rFonts w:ascii="宋体" w:eastAsia="宋体" w:hAnsi="宋体"/>
          <w:sz w:val="24"/>
        </w:rPr>
        <w:t>，工程与能源最为突出，并与化学、材料、物理、计算机等协同发展，反映智能油田开发的综合性与系统性特征。</w:t>
      </w:r>
    </w:p>
    <w:p w14:paraId="49C62F47" w14:textId="1B2BC8AE" w:rsidR="006E6D92" w:rsidRPr="004C748D" w:rsidRDefault="000E2B21" w:rsidP="000E2B21">
      <w:pPr>
        <w:jc w:val="center"/>
        <w:rPr>
          <w:rFonts w:ascii="宋体" w:eastAsia="宋体" w:hAnsi="宋体" w:hint="eastAsia"/>
          <w:sz w:val="24"/>
        </w:rPr>
      </w:pPr>
      <w:r>
        <w:rPr>
          <w:noProof/>
        </w:rPr>
        <w:lastRenderedPageBreak/>
        <w:drawing>
          <wp:inline distT="0" distB="0" distL="0" distR="0" wp14:anchorId="524E02DE" wp14:editId="517EB41B">
            <wp:extent cx="5300735" cy="3178065"/>
            <wp:effectExtent l="0" t="0" r="0" b="3810"/>
            <wp:docPr id="1074878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a:ext>
                      </a:extLst>
                    </a:blip>
                    <a:srcRect l="1672" t="1408" r="7151" b="1406"/>
                    <a:stretch>
                      <a:fillRect/>
                    </a:stretch>
                  </pic:blipFill>
                  <pic:spPr bwMode="auto">
                    <a:xfrm>
                      <a:off x="0" y="0"/>
                      <a:ext cx="5310569" cy="3183961"/>
                    </a:xfrm>
                    <a:prstGeom prst="rect">
                      <a:avLst/>
                    </a:prstGeom>
                    <a:noFill/>
                    <a:ln>
                      <a:noFill/>
                    </a:ln>
                    <a:extLst>
                      <a:ext uri="{53640926-AAD7-44D8-BBD7-CCE9431645EC}">
                        <a14:shadowObscured xmlns:a14="http://schemas.microsoft.com/office/drawing/2010/main"/>
                      </a:ext>
                    </a:extLst>
                  </pic:spPr>
                </pic:pic>
              </a:graphicData>
            </a:graphic>
          </wp:inline>
        </w:drawing>
      </w:r>
    </w:p>
    <w:p w14:paraId="4FE30C96" w14:textId="0BDFB418" w:rsidR="00CA1B77" w:rsidRPr="004C748D" w:rsidRDefault="00CA1B77" w:rsidP="000E2B21">
      <w:pPr>
        <w:ind w:firstLine="420"/>
        <w:rPr>
          <w:rFonts w:ascii="宋体" w:eastAsia="宋体" w:hAnsi="宋体" w:hint="eastAsia"/>
          <w:sz w:val="24"/>
        </w:rPr>
      </w:pPr>
      <w:r w:rsidRPr="004C748D">
        <w:rPr>
          <w:rFonts w:ascii="宋体" w:eastAsia="宋体" w:hAnsi="宋体" w:hint="eastAsia"/>
          <w:sz w:val="24"/>
        </w:rPr>
        <w:t>图4：</w:t>
      </w:r>
      <w:r w:rsidRPr="004C748D">
        <w:rPr>
          <w:rFonts w:ascii="宋体" w:eastAsia="宋体" w:hAnsi="宋体"/>
          <w:sz w:val="24"/>
        </w:rPr>
        <w:t>发文分布</w:t>
      </w:r>
      <w:r w:rsidRPr="004C748D">
        <w:rPr>
          <w:rFonts w:ascii="宋体" w:eastAsia="宋体" w:hAnsi="宋体" w:hint="eastAsia"/>
          <w:sz w:val="24"/>
        </w:rPr>
        <w:t>词云图，从上到下，从左到右依次是出版商分布、</w:t>
      </w:r>
      <w:r w:rsidRPr="004C748D">
        <w:rPr>
          <w:rFonts w:ascii="宋体" w:eastAsia="宋体" w:hAnsi="宋体"/>
          <w:sz w:val="24"/>
        </w:rPr>
        <w:t>研究领域</w:t>
      </w:r>
      <w:r w:rsidRPr="004C748D">
        <w:rPr>
          <w:rFonts w:ascii="宋体" w:eastAsia="宋体" w:hAnsi="宋体" w:hint="eastAsia"/>
          <w:sz w:val="24"/>
        </w:rPr>
        <w:t>分布、期刊分布、学科分布</w:t>
      </w:r>
    </w:p>
    <w:p w14:paraId="62299C0C" w14:textId="3DF093A2" w:rsidR="00CF6923" w:rsidRPr="00C218AF" w:rsidRDefault="00CF6923" w:rsidP="00CF6923">
      <w:pPr>
        <w:pStyle w:val="af5"/>
        <w:ind w:firstLineChars="200" w:firstLine="440"/>
        <w:jc w:val="both"/>
        <w:rPr>
          <w:rFonts w:ascii="宋体" w:eastAsia="宋体" w:hAnsi="宋体" w:hint="eastAsia"/>
        </w:rPr>
      </w:pPr>
      <w:r w:rsidRPr="00C218AF">
        <w:rPr>
          <w:rFonts w:ascii="宋体" w:eastAsia="宋体" w:hAnsi="宋体"/>
        </w:rPr>
        <w:t>在智能油田开发的交叉领域方面，相关研究正由单一技术应用逐步向多技术深度融合与系统协同方向演进。随着油气田开发对象复杂化、生产过程智能化以及安全与效率要求的不断提升，传统的信息化和自动化手段已难以满足高精度、实时性与全局优化的需求。因此，以无人机、人工智能、大数据、物联网、数字孪生及智能机器人为代表的新兴技术，正通过跨学科交叉融合，构建覆盖“感知—认知—决策—执行”全流程的智能油田技术体系。表</w:t>
      </w:r>
      <w:r w:rsidR="00EB6DC6">
        <w:rPr>
          <w:rFonts w:ascii="宋体" w:eastAsia="宋体" w:hAnsi="宋体" w:hint="eastAsia"/>
        </w:rPr>
        <w:t>1</w:t>
      </w:r>
      <w:r w:rsidRPr="00C218AF">
        <w:rPr>
          <w:rFonts w:ascii="宋体" w:eastAsia="宋体" w:hAnsi="宋体"/>
        </w:rPr>
        <w:t>总结了当前油田开发领域中具有代表性的交叉技术方向及其主要应用特征。</w:t>
      </w:r>
    </w:p>
    <w:p w14:paraId="63DC4FCA" w14:textId="653EA970" w:rsidR="00761F7E" w:rsidRPr="004C748D" w:rsidRDefault="00761F7E" w:rsidP="00CC1118">
      <w:pPr>
        <w:pStyle w:val="af5"/>
        <w:rPr>
          <w:rFonts w:ascii="宋体" w:eastAsia="宋体" w:hAnsi="宋体" w:hint="eastAsia"/>
          <w:sz w:val="24"/>
        </w:rPr>
      </w:pPr>
      <w:r w:rsidRPr="004C748D">
        <w:rPr>
          <w:rFonts w:ascii="宋体" w:eastAsia="宋体" w:hAnsi="宋体" w:hint="eastAsia"/>
          <w:sz w:val="24"/>
        </w:rPr>
        <w:t>表</w:t>
      </w:r>
      <w:r w:rsidR="00EB6DC6">
        <w:rPr>
          <w:rFonts w:ascii="宋体" w:eastAsia="宋体" w:hAnsi="宋体" w:hint="eastAsia"/>
          <w:sz w:val="24"/>
        </w:rPr>
        <w:t>1</w:t>
      </w:r>
      <w:r w:rsidRPr="004C748D">
        <w:rPr>
          <w:rFonts w:ascii="宋体" w:eastAsia="宋体" w:hAnsi="宋体" w:hint="eastAsia"/>
          <w:sz w:val="24"/>
        </w:rPr>
        <w:t>：</w:t>
      </w:r>
      <w:r w:rsidRPr="004C748D">
        <w:rPr>
          <w:rFonts w:ascii="宋体" w:eastAsia="宋体" w:hAnsi="宋体"/>
          <w:sz w:val="24"/>
        </w:rPr>
        <w:t>油田开发</w:t>
      </w:r>
      <w:r w:rsidRPr="004C748D">
        <w:rPr>
          <w:rFonts w:ascii="宋体" w:eastAsia="宋体" w:hAnsi="宋体" w:hint="eastAsia"/>
          <w:sz w:val="24"/>
        </w:rPr>
        <w:t>领域交叉核心代表</w:t>
      </w:r>
    </w:p>
    <w:tbl>
      <w:tblPr>
        <w:tblW w:w="0" w:type="auto"/>
        <w:jc w:val="center"/>
        <w:tblLayout w:type="fixed"/>
        <w:tblLook w:val="04A0" w:firstRow="1" w:lastRow="0" w:firstColumn="1" w:lastColumn="0" w:noHBand="0" w:noVBand="1"/>
      </w:tblPr>
      <w:tblGrid>
        <w:gridCol w:w="947"/>
        <w:gridCol w:w="1028"/>
        <w:gridCol w:w="1843"/>
        <w:gridCol w:w="4468"/>
      </w:tblGrid>
      <w:tr w:rsidR="00FF5552" w:rsidRPr="00F76EA1" w14:paraId="39DEA02D" w14:textId="77777777" w:rsidTr="00CB00A6">
        <w:trPr>
          <w:jc w:val="center"/>
        </w:trPr>
        <w:tc>
          <w:tcPr>
            <w:tcW w:w="947" w:type="dxa"/>
            <w:tcBorders>
              <w:top w:val="single" w:sz="8" w:space="0" w:color="auto"/>
              <w:left w:val="single" w:sz="8" w:space="0" w:color="auto"/>
              <w:bottom w:val="single" w:sz="8" w:space="0" w:color="auto"/>
              <w:right w:val="single" w:sz="8" w:space="0" w:color="auto"/>
            </w:tcBorders>
            <w:vAlign w:val="center"/>
            <w:hideMark/>
          </w:tcPr>
          <w:p w14:paraId="46FC0AD6"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交叉领域</w:t>
            </w:r>
            <w:r w:rsidRPr="00F76EA1">
              <w:rPr>
                <w:rFonts w:ascii="Times New Roman" w:eastAsia="宋体" w:hAnsi="Times New Roman" w:cs="Times New Roman"/>
                <w:sz w:val="24"/>
              </w:rPr>
              <w:t>/</w:t>
            </w:r>
            <w:r w:rsidRPr="00F76EA1">
              <w:rPr>
                <w:rFonts w:ascii="Times New Roman" w:eastAsia="宋体" w:hAnsi="Times New Roman" w:cs="Times New Roman"/>
                <w:sz w:val="24"/>
              </w:rPr>
              <w:t>技术</w:t>
            </w:r>
          </w:p>
        </w:tc>
        <w:tc>
          <w:tcPr>
            <w:tcW w:w="1028" w:type="dxa"/>
            <w:tcBorders>
              <w:top w:val="single" w:sz="8" w:space="0" w:color="auto"/>
              <w:left w:val="nil"/>
              <w:bottom w:val="single" w:sz="8" w:space="0" w:color="auto"/>
              <w:right w:val="single" w:sz="8" w:space="0" w:color="auto"/>
            </w:tcBorders>
            <w:vAlign w:val="center"/>
            <w:hideMark/>
          </w:tcPr>
          <w:p w14:paraId="4E387F0B"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主要应用</w:t>
            </w:r>
          </w:p>
        </w:tc>
        <w:tc>
          <w:tcPr>
            <w:tcW w:w="1843" w:type="dxa"/>
            <w:tcBorders>
              <w:top w:val="single" w:sz="8" w:space="0" w:color="auto"/>
              <w:left w:val="nil"/>
              <w:bottom w:val="single" w:sz="8" w:space="0" w:color="auto"/>
              <w:right w:val="single" w:sz="8" w:space="0" w:color="auto"/>
            </w:tcBorders>
            <w:vAlign w:val="center"/>
            <w:hideMark/>
          </w:tcPr>
          <w:p w14:paraId="686EB7E3"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技术特点与融合方向</w:t>
            </w:r>
          </w:p>
        </w:tc>
        <w:tc>
          <w:tcPr>
            <w:tcW w:w="4468" w:type="dxa"/>
            <w:tcBorders>
              <w:top w:val="single" w:sz="8" w:space="0" w:color="auto"/>
              <w:left w:val="nil"/>
              <w:bottom w:val="single" w:sz="8" w:space="0" w:color="auto"/>
              <w:right w:val="single" w:sz="8" w:space="0" w:color="auto"/>
            </w:tcBorders>
          </w:tcPr>
          <w:p w14:paraId="7A917912"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性能指标或优势</w:t>
            </w:r>
          </w:p>
        </w:tc>
      </w:tr>
      <w:tr w:rsidR="00FF5552" w:rsidRPr="00F76EA1" w14:paraId="31BA2818" w14:textId="77777777" w:rsidTr="00CB00A6">
        <w:trPr>
          <w:jc w:val="center"/>
        </w:trPr>
        <w:tc>
          <w:tcPr>
            <w:tcW w:w="947" w:type="dxa"/>
            <w:tcBorders>
              <w:top w:val="nil"/>
              <w:left w:val="single" w:sz="8" w:space="0" w:color="auto"/>
              <w:bottom w:val="single" w:sz="8" w:space="0" w:color="auto"/>
              <w:right w:val="single" w:sz="8" w:space="0" w:color="auto"/>
            </w:tcBorders>
            <w:vAlign w:val="center"/>
            <w:hideMark/>
          </w:tcPr>
          <w:p w14:paraId="2CB3A2E9"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无人机（</w:t>
            </w:r>
            <w:r w:rsidRPr="00F76EA1">
              <w:rPr>
                <w:rFonts w:ascii="Times New Roman" w:eastAsia="宋体" w:hAnsi="Times New Roman" w:cs="Times New Roman"/>
                <w:sz w:val="24"/>
              </w:rPr>
              <w:t>UAV</w:t>
            </w:r>
            <w:r w:rsidRPr="00F76EA1">
              <w:rPr>
                <w:rFonts w:ascii="Times New Roman" w:eastAsia="宋体" w:hAnsi="Times New Roman" w:cs="Times New Roman"/>
                <w:sz w:val="24"/>
              </w:rPr>
              <w:t>）</w:t>
            </w:r>
          </w:p>
        </w:tc>
        <w:tc>
          <w:tcPr>
            <w:tcW w:w="1028" w:type="dxa"/>
            <w:tcBorders>
              <w:top w:val="nil"/>
              <w:left w:val="nil"/>
              <w:bottom w:val="single" w:sz="8" w:space="0" w:color="auto"/>
              <w:right w:val="single" w:sz="8" w:space="0" w:color="auto"/>
            </w:tcBorders>
            <w:vAlign w:val="center"/>
            <w:hideMark/>
          </w:tcPr>
          <w:p w14:paraId="027D7FD8"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油气田巡检、管线与井场监测、泄漏识别、应急响应</w:t>
            </w:r>
            <w:r w:rsidRPr="00F76EA1">
              <w:rPr>
                <w:rFonts w:ascii="Times New Roman" w:eastAsia="宋体" w:hAnsi="Times New Roman" w:cs="Times New Roman"/>
                <w:sz w:val="24"/>
              </w:rPr>
              <w:lastRenderedPageBreak/>
              <w:t>[7]</w:t>
            </w:r>
          </w:p>
        </w:tc>
        <w:tc>
          <w:tcPr>
            <w:tcW w:w="1843" w:type="dxa"/>
            <w:tcBorders>
              <w:top w:val="nil"/>
              <w:left w:val="nil"/>
              <w:bottom w:val="single" w:sz="8" w:space="0" w:color="auto"/>
              <w:right w:val="single" w:sz="8" w:space="0" w:color="auto"/>
            </w:tcBorders>
            <w:vAlign w:val="center"/>
            <w:hideMark/>
          </w:tcPr>
          <w:p w14:paraId="239E219D"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lastRenderedPageBreak/>
              <w:t>与计算机视觉、遥感和</w:t>
            </w:r>
            <w:r w:rsidRPr="00F76EA1">
              <w:rPr>
                <w:rFonts w:ascii="Times New Roman" w:eastAsia="宋体" w:hAnsi="Times New Roman" w:cs="Times New Roman"/>
                <w:sz w:val="24"/>
              </w:rPr>
              <w:t>GIS</w:t>
            </w:r>
            <w:r w:rsidRPr="00F76EA1">
              <w:rPr>
                <w:rFonts w:ascii="Times New Roman" w:eastAsia="宋体" w:hAnsi="Times New Roman" w:cs="Times New Roman"/>
                <w:sz w:val="24"/>
              </w:rPr>
              <w:t>结合，实现低成本、高频率、自动化感知</w:t>
            </w:r>
          </w:p>
        </w:tc>
        <w:tc>
          <w:tcPr>
            <w:tcW w:w="4468" w:type="dxa"/>
            <w:tcBorders>
              <w:top w:val="nil"/>
              <w:left w:val="nil"/>
              <w:bottom w:val="single" w:sz="8" w:space="0" w:color="auto"/>
              <w:right w:val="single" w:sz="8" w:space="0" w:color="auto"/>
            </w:tcBorders>
          </w:tcPr>
          <w:p w14:paraId="047C5AF5"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无人机遥感通常能够提供</w:t>
            </w:r>
            <w:proofErr w:type="gramStart"/>
            <w:r w:rsidRPr="00F76EA1">
              <w:rPr>
                <w:rFonts w:ascii="Times New Roman" w:eastAsia="宋体" w:hAnsi="Times New Roman" w:cs="Times New Roman"/>
                <w:sz w:val="24"/>
              </w:rPr>
              <w:t>厘米级</w:t>
            </w:r>
            <w:proofErr w:type="gramEnd"/>
            <w:r w:rsidRPr="00F76EA1">
              <w:rPr>
                <w:rFonts w:ascii="Times New Roman" w:eastAsia="宋体" w:hAnsi="Times New Roman" w:cs="Times New Roman"/>
                <w:sz w:val="24"/>
              </w:rPr>
              <w:t>至</w:t>
            </w:r>
            <w:proofErr w:type="gramStart"/>
            <w:r w:rsidRPr="00F76EA1">
              <w:rPr>
                <w:rFonts w:ascii="Times New Roman" w:eastAsia="宋体" w:hAnsi="Times New Roman" w:cs="Times New Roman"/>
                <w:sz w:val="24"/>
              </w:rPr>
              <w:t>亚米级的</w:t>
            </w:r>
            <w:proofErr w:type="gramEnd"/>
            <w:r w:rsidRPr="00F76EA1">
              <w:rPr>
                <w:rFonts w:ascii="Times New Roman" w:eastAsia="宋体" w:hAnsi="Times New Roman" w:cs="Times New Roman"/>
                <w:sz w:val="24"/>
              </w:rPr>
              <w:t>空间分辨率，显著高于传统卫星遥感（通常</w:t>
            </w:r>
            <w:proofErr w:type="gramStart"/>
            <w:r w:rsidRPr="00F76EA1">
              <w:rPr>
                <w:rFonts w:ascii="Times New Roman" w:eastAsia="宋体" w:hAnsi="Times New Roman" w:cs="Times New Roman"/>
                <w:sz w:val="24"/>
              </w:rPr>
              <w:t>为米级至</w:t>
            </w:r>
            <w:proofErr w:type="gramEnd"/>
            <w:r w:rsidRPr="00F76EA1">
              <w:rPr>
                <w:rFonts w:ascii="Times New Roman" w:eastAsia="宋体" w:hAnsi="Times New Roman" w:cs="Times New Roman"/>
                <w:sz w:val="24"/>
              </w:rPr>
              <w:t>几十米）以及部分航空遥感（一般为分米级）。因此，在油气基础设施巡检、管线监测及环境监测等应用中，无人机平台能够实现更高精度的空间信息获取和更加灵活、快速的数据采集。</w:t>
            </w:r>
            <w:r w:rsidRPr="00F76EA1">
              <w:rPr>
                <w:rFonts w:ascii="Times New Roman" w:eastAsia="宋体" w:hAnsi="Times New Roman" w:cs="Times New Roman"/>
                <w:sz w:val="24"/>
              </w:rPr>
              <w:lastRenderedPageBreak/>
              <w:t>（</w:t>
            </w:r>
            <w:hyperlink r:id="rId14" w:tgtFrame="_blank" w:tooltip="Persistent link using digital object identifier" w:history="1">
              <w:r w:rsidRPr="00F76EA1">
                <w:rPr>
                  <w:rStyle w:val="afb"/>
                  <w:rFonts w:ascii="Times New Roman" w:eastAsia="宋体" w:hAnsi="Times New Roman" w:cs="Times New Roman"/>
                  <w:sz w:val="24"/>
                </w:rPr>
                <w:t>https://</w:t>
              </w:r>
              <w:proofErr w:type="spellStart"/>
              <w:r w:rsidRPr="00F76EA1">
                <w:rPr>
                  <w:rStyle w:val="afb"/>
                  <w:rFonts w:ascii="Times New Roman" w:eastAsia="宋体" w:hAnsi="Times New Roman" w:cs="Times New Roman"/>
                  <w:sz w:val="24"/>
                </w:rPr>
                <w:t>doi.org</w:t>
              </w:r>
              <w:proofErr w:type="spellEnd"/>
              <w:r w:rsidRPr="00F76EA1">
                <w:rPr>
                  <w:rStyle w:val="afb"/>
                  <w:rFonts w:ascii="Times New Roman" w:eastAsia="宋体" w:hAnsi="Times New Roman" w:cs="Times New Roman"/>
                  <w:sz w:val="24"/>
                </w:rPr>
                <w:t>/10.1016/</w:t>
              </w:r>
              <w:proofErr w:type="spellStart"/>
              <w:r w:rsidRPr="00F76EA1">
                <w:rPr>
                  <w:rStyle w:val="afb"/>
                  <w:rFonts w:ascii="Times New Roman" w:eastAsia="宋体" w:hAnsi="Times New Roman" w:cs="Times New Roman"/>
                  <w:sz w:val="24"/>
                </w:rPr>
                <w:t>j.petrol.2021.109633</w:t>
              </w:r>
              <w:proofErr w:type="spellEnd"/>
            </w:hyperlink>
            <w:r w:rsidRPr="00F76EA1">
              <w:rPr>
                <w:rFonts w:ascii="Times New Roman" w:eastAsia="宋体" w:hAnsi="Times New Roman" w:cs="Times New Roman"/>
                <w:sz w:val="24"/>
              </w:rPr>
              <w:t>）</w:t>
            </w:r>
          </w:p>
        </w:tc>
      </w:tr>
      <w:tr w:rsidR="00FF5552" w:rsidRPr="00F76EA1" w14:paraId="13A0D804" w14:textId="77777777" w:rsidTr="00CB00A6">
        <w:trPr>
          <w:jc w:val="center"/>
        </w:trPr>
        <w:tc>
          <w:tcPr>
            <w:tcW w:w="947" w:type="dxa"/>
            <w:tcBorders>
              <w:top w:val="nil"/>
              <w:left w:val="single" w:sz="8" w:space="0" w:color="auto"/>
              <w:bottom w:val="single" w:sz="8" w:space="0" w:color="auto"/>
              <w:right w:val="single" w:sz="8" w:space="0" w:color="auto"/>
            </w:tcBorders>
            <w:vAlign w:val="center"/>
            <w:hideMark/>
          </w:tcPr>
          <w:p w14:paraId="4DA0F84F"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lastRenderedPageBreak/>
              <w:t>人工智能与大数据</w:t>
            </w:r>
          </w:p>
        </w:tc>
        <w:tc>
          <w:tcPr>
            <w:tcW w:w="1028" w:type="dxa"/>
            <w:tcBorders>
              <w:top w:val="nil"/>
              <w:left w:val="nil"/>
              <w:bottom w:val="single" w:sz="8" w:space="0" w:color="auto"/>
              <w:right w:val="single" w:sz="8" w:space="0" w:color="auto"/>
            </w:tcBorders>
            <w:vAlign w:val="center"/>
            <w:hideMark/>
          </w:tcPr>
          <w:p w14:paraId="3362D580"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智能解释如地震资料、测井、生产及设备数据，产量预测，储层表征，智能调控</w:t>
            </w:r>
            <w:r w:rsidRPr="00F76EA1">
              <w:rPr>
                <w:rFonts w:ascii="Times New Roman" w:eastAsia="宋体" w:hAnsi="Times New Roman" w:cs="Times New Roman"/>
                <w:sz w:val="24"/>
              </w:rPr>
              <w:t>[8][9]</w:t>
            </w:r>
          </w:p>
        </w:tc>
        <w:tc>
          <w:tcPr>
            <w:tcW w:w="1843" w:type="dxa"/>
            <w:tcBorders>
              <w:top w:val="nil"/>
              <w:left w:val="nil"/>
              <w:bottom w:val="single" w:sz="8" w:space="0" w:color="auto"/>
              <w:right w:val="single" w:sz="8" w:space="0" w:color="auto"/>
            </w:tcBorders>
            <w:vAlign w:val="center"/>
            <w:hideMark/>
          </w:tcPr>
          <w:p w14:paraId="71A5716E"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机器学习、深度学习驱动，支撑决策分析与预测</w:t>
            </w:r>
          </w:p>
        </w:tc>
        <w:tc>
          <w:tcPr>
            <w:tcW w:w="4468" w:type="dxa"/>
            <w:tcBorders>
              <w:top w:val="nil"/>
              <w:left w:val="nil"/>
              <w:bottom w:val="single" w:sz="8" w:space="0" w:color="auto"/>
              <w:right w:val="single" w:sz="8" w:space="0" w:color="auto"/>
            </w:tcBorders>
          </w:tcPr>
          <w:p w14:paraId="72FD724F"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断层检测准确率超过</w:t>
            </w:r>
            <w:r w:rsidRPr="00F76EA1">
              <w:rPr>
                <w:rFonts w:ascii="Times New Roman" w:eastAsia="宋体" w:hAnsi="Times New Roman" w:cs="Times New Roman"/>
                <w:sz w:val="24"/>
              </w:rPr>
              <w:t>90%</w:t>
            </w:r>
            <w:r w:rsidRPr="00F76EA1">
              <w:rPr>
                <w:rFonts w:ascii="Times New Roman" w:eastAsia="宋体" w:hAnsi="Times New Roman" w:cs="Times New Roman"/>
                <w:sz w:val="24"/>
              </w:rPr>
              <w:t>而人工解释通常约</w:t>
            </w:r>
            <w:r w:rsidRPr="00F76EA1">
              <w:rPr>
                <w:rFonts w:ascii="Times New Roman" w:eastAsia="宋体" w:hAnsi="Times New Roman" w:cs="Times New Roman"/>
                <w:sz w:val="24"/>
              </w:rPr>
              <w:t>70–80%</w:t>
            </w:r>
            <w:r w:rsidRPr="00F76EA1">
              <w:rPr>
                <w:rFonts w:ascii="Times New Roman" w:eastAsia="宋体" w:hAnsi="Times New Roman" w:cs="Times New Roman"/>
                <w:sz w:val="24"/>
              </w:rPr>
              <w:t>，</w:t>
            </w:r>
            <w:r w:rsidRPr="00F76EA1">
              <w:rPr>
                <w:rFonts w:ascii="Times New Roman" w:eastAsia="宋体" w:hAnsi="Times New Roman" w:cs="Times New Roman"/>
                <w:sz w:val="24"/>
              </w:rPr>
              <w:t xml:space="preserve">AI </w:t>
            </w:r>
            <w:r w:rsidRPr="00F76EA1">
              <w:rPr>
                <w:rFonts w:ascii="Times New Roman" w:eastAsia="宋体" w:hAnsi="Times New Roman" w:cs="Times New Roman"/>
                <w:sz w:val="24"/>
              </w:rPr>
              <w:t>可以在数小时或数天完成。</w:t>
            </w:r>
            <w:r w:rsidRPr="00F76EA1">
              <w:rPr>
                <w:rFonts w:ascii="Times New Roman" w:eastAsia="宋体" w:hAnsi="Times New Roman" w:cs="Times New Roman"/>
                <w:sz w:val="24"/>
              </w:rPr>
              <w:t>Shell</w:t>
            </w:r>
            <w:r w:rsidRPr="00F76EA1">
              <w:rPr>
                <w:rFonts w:ascii="Times New Roman" w:eastAsia="宋体" w:hAnsi="Times New Roman" w:cs="Times New Roman"/>
                <w:sz w:val="24"/>
              </w:rPr>
              <w:t>使用</w:t>
            </w:r>
            <w:r w:rsidRPr="00F76EA1">
              <w:rPr>
                <w:rFonts w:ascii="Times New Roman" w:eastAsia="宋体" w:hAnsi="Times New Roman" w:cs="Times New Roman"/>
                <w:sz w:val="24"/>
              </w:rPr>
              <w:t>AI</w:t>
            </w:r>
            <w:r w:rsidRPr="00F76EA1">
              <w:rPr>
                <w:rFonts w:ascii="Times New Roman" w:eastAsia="宋体" w:hAnsi="Times New Roman" w:cs="Times New Roman"/>
                <w:sz w:val="24"/>
              </w:rPr>
              <w:t>减少约</w:t>
            </w:r>
            <w:r w:rsidRPr="00F76EA1">
              <w:rPr>
                <w:rFonts w:ascii="Times New Roman" w:eastAsia="宋体" w:hAnsi="Times New Roman" w:cs="Times New Roman"/>
                <w:sz w:val="24"/>
              </w:rPr>
              <w:t>30%</w:t>
            </w:r>
            <w:r w:rsidRPr="00F76EA1">
              <w:rPr>
                <w:rFonts w:ascii="Times New Roman" w:eastAsia="宋体" w:hAnsi="Times New Roman" w:cs="Times New Roman"/>
                <w:sz w:val="24"/>
              </w:rPr>
              <w:t>断层解释时间</w:t>
            </w:r>
            <w:r w:rsidRPr="00F76EA1">
              <w:rPr>
                <w:rFonts w:ascii="Times New Roman" w:eastAsia="宋体" w:hAnsi="Times New Roman" w:cs="Times New Roman"/>
                <w:sz w:val="24"/>
              </w:rPr>
              <w:t>BP</w:t>
            </w:r>
            <w:r w:rsidRPr="00F76EA1">
              <w:rPr>
                <w:rFonts w:ascii="Times New Roman" w:eastAsia="宋体" w:hAnsi="Times New Roman" w:cs="Times New Roman"/>
                <w:sz w:val="24"/>
              </w:rPr>
              <w:t>使用</w:t>
            </w:r>
            <w:r w:rsidRPr="00F76EA1">
              <w:rPr>
                <w:rFonts w:ascii="Times New Roman" w:eastAsia="宋体" w:hAnsi="Times New Roman" w:cs="Times New Roman"/>
                <w:sz w:val="24"/>
              </w:rPr>
              <w:t>AI</w:t>
            </w:r>
            <w:r w:rsidRPr="00F76EA1">
              <w:rPr>
                <w:rFonts w:ascii="Times New Roman" w:eastAsia="宋体" w:hAnsi="Times New Roman" w:cs="Times New Roman"/>
                <w:sz w:val="24"/>
              </w:rPr>
              <w:t>降低约</w:t>
            </w:r>
            <w:r w:rsidRPr="00F76EA1">
              <w:rPr>
                <w:rFonts w:ascii="Times New Roman" w:eastAsia="宋体" w:hAnsi="Times New Roman" w:cs="Times New Roman"/>
                <w:sz w:val="24"/>
              </w:rPr>
              <w:t>20%</w:t>
            </w:r>
            <w:r w:rsidRPr="00F76EA1">
              <w:rPr>
                <w:rFonts w:ascii="Times New Roman" w:eastAsia="宋体" w:hAnsi="Times New Roman" w:cs="Times New Roman"/>
                <w:sz w:val="24"/>
              </w:rPr>
              <w:t>地震采集成本</w:t>
            </w:r>
            <w:r w:rsidRPr="00F76EA1">
              <w:rPr>
                <w:rFonts w:ascii="Times New Roman" w:eastAsia="宋体" w:hAnsi="Times New Roman" w:cs="Times New Roman"/>
                <w:sz w:val="24"/>
              </w:rPr>
              <w:t>ExxonMobil AI</w:t>
            </w:r>
            <w:r w:rsidRPr="00F76EA1">
              <w:rPr>
                <w:rFonts w:ascii="Times New Roman" w:eastAsia="宋体" w:hAnsi="Times New Roman" w:cs="Times New Roman"/>
                <w:sz w:val="24"/>
              </w:rPr>
              <w:t>模型储层预测准确率约</w:t>
            </w:r>
            <w:r w:rsidRPr="00F76EA1">
              <w:rPr>
                <w:rFonts w:ascii="Times New Roman" w:eastAsia="宋体" w:hAnsi="Times New Roman" w:cs="Times New Roman"/>
                <w:sz w:val="24"/>
              </w:rPr>
              <w:t>85%</w:t>
            </w:r>
            <w:r w:rsidRPr="00F76EA1">
              <w:rPr>
                <w:rFonts w:ascii="Times New Roman" w:eastAsia="宋体" w:hAnsi="Times New Roman" w:cs="Times New Roman"/>
                <w:sz w:val="24"/>
              </w:rPr>
              <w:t>。（</w:t>
            </w:r>
            <w:r w:rsidRPr="00F76EA1">
              <w:rPr>
                <w:rFonts w:ascii="Times New Roman" w:eastAsia="宋体" w:hAnsi="Times New Roman" w:cs="Times New Roman"/>
                <w:sz w:val="24"/>
              </w:rPr>
              <w:fldChar w:fldCharType="begin"/>
            </w:r>
            <w:r w:rsidRPr="00F76EA1">
              <w:rPr>
                <w:rFonts w:ascii="Times New Roman" w:eastAsia="宋体" w:hAnsi="Times New Roman" w:cs="Times New Roman"/>
                <w:sz w:val="24"/>
              </w:rPr>
              <w:instrText>HYPERLINK "https://www.linkedin.com/pulse/optimizing-exploration-ai-revolutionizing-seismic-data-fadare-ciod-lw89c"</w:instrText>
            </w:r>
            <w:r w:rsidRPr="00F76EA1">
              <w:rPr>
                <w:rFonts w:ascii="Times New Roman" w:eastAsia="宋体" w:hAnsi="Times New Roman" w:cs="Times New Roman"/>
                <w:sz w:val="24"/>
              </w:rPr>
            </w:r>
            <w:r w:rsidRPr="00F76EA1">
              <w:rPr>
                <w:rFonts w:ascii="Times New Roman" w:eastAsia="宋体" w:hAnsi="Times New Roman" w:cs="Times New Roman"/>
                <w:sz w:val="24"/>
              </w:rPr>
              <w:fldChar w:fldCharType="separate"/>
            </w:r>
            <w:r w:rsidRPr="00F76EA1">
              <w:rPr>
                <w:rStyle w:val="afb"/>
                <w:rFonts w:ascii="Times New Roman" w:eastAsia="宋体" w:hAnsi="Times New Roman" w:cs="Times New Roman"/>
                <w:sz w:val="24"/>
              </w:rPr>
              <w:t>https://www.linkedin.com/pulse/optimizing-exploration-ai-revolutionizing-seismic-data-fadare-ciod-lw89c</w:t>
            </w:r>
            <w:r w:rsidRPr="00F76EA1">
              <w:rPr>
                <w:rFonts w:ascii="Times New Roman" w:eastAsia="宋体" w:hAnsi="Times New Roman" w:cs="Times New Roman"/>
                <w:sz w:val="24"/>
              </w:rPr>
              <w:fldChar w:fldCharType="end"/>
            </w:r>
            <w:r w:rsidRPr="00F76EA1">
              <w:rPr>
                <w:rFonts w:ascii="Times New Roman" w:eastAsia="宋体" w:hAnsi="Times New Roman" w:cs="Times New Roman"/>
                <w:sz w:val="24"/>
              </w:rPr>
              <w:t>）</w:t>
            </w:r>
          </w:p>
          <w:p w14:paraId="00172987" w14:textId="77777777" w:rsidR="00FF5552" w:rsidRPr="00F76EA1" w:rsidRDefault="00FF5552" w:rsidP="00CB00A6">
            <w:pPr>
              <w:rPr>
                <w:rFonts w:ascii="Times New Roman" w:eastAsia="宋体" w:hAnsi="Times New Roman" w:cs="Times New Roman"/>
                <w:sz w:val="24"/>
              </w:rPr>
            </w:pPr>
          </w:p>
        </w:tc>
      </w:tr>
      <w:tr w:rsidR="00FF5552" w:rsidRPr="00F76EA1" w14:paraId="0375A001" w14:textId="77777777" w:rsidTr="00CB00A6">
        <w:trPr>
          <w:jc w:val="center"/>
        </w:trPr>
        <w:tc>
          <w:tcPr>
            <w:tcW w:w="947" w:type="dxa"/>
            <w:tcBorders>
              <w:top w:val="nil"/>
              <w:left w:val="single" w:sz="8" w:space="0" w:color="auto"/>
              <w:bottom w:val="single" w:sz="8" w:space="0" w:color="auto"/>
              <w:right w:val="single" w:sz="8" w:space="0" w:color="auto"/>
            </w:tcBorders>
            <w:vAlign w:val="center"/>
            <w:hideMark/>
          </w:tcPr>
          <w:p w14:paraId="1C8BDF3C"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物联网与智能感知</w:t>
            </w:r>
          </w:p>
        </w:tc>
        <w:tc>
          <w:tcPr>
            <w:tcW w:w="1028" w:type="dxa"/>
            <w:tcBorders>
              <w:top w:val="nil"/>
              <w:left w:val="nil"/>
              <w:bottom w:val="single" w:sz="8" w:space="0" w:color="auto"/>
              <w:right w:val="single" w:sz="8" w:space="0" w:color="auto"/>
            </w:tcBorders>
            <w:vAlign w:val="center"/>
            <w:hideMark/>
          </w:tcPr>
          <w:p w14:paraId="3CFFB065"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井筒</w:t>
            </w:r>
            <w:r w:rsidRPr="00F76EA1">
              <w:rPr>
                <w:rFonts w:ascii="Times New Roman" w:eastAsia="宋体" w:hAnsi="Times New Roman" w:cs="Times New Roman"/>
                <w:sz w:val="24"/>
              </w:rPr>
              <w:t>—</w:t>
            </w:r>
            <w:r w:rsidRPr="00F76EA1">
              <w:rPr>
                <w:rFonts w:ascii="Times New Roman" w:eastAsia="宋体" w:hAnsi="Times New Roman" w:cs="Times New Roman"/>
                <w:sz w:val="24"/>
              </w:rPr>
              <w:t>地面</w:t>
            </w:r>
            <w:r w:rsidRPr="00F76EA1">
              <w:rPr>
                <w:rFonts w:ascii="Times New Roman" w:eastAsia="宋体" w:hAnsi="Times New Roman" w:cs="Times New Roman"/>
                <w:sz w:val="24"/>
              </w:rPr>
              <w:t>—</w:t>
            </w:r>
            <w:r w:rsidRPr="00F76EA1">
              <w:rPr>
                <w:rFonts w:ascii="Times New Roman" w:eastAsia="宋体" w:hAnsi="Times New Roman" w:cs="Times New Roman"/>
                <w:sz w:val="24"/>
              </w:rPr>
              <w:t>管网的实时监测</w:t>
            </w:r>
            <w:r w:rsidRPr="00F76EA1">
              <w:rPr>
                <w:rFonts w:ascii="Times New Roman" w:eastAsia="宋体" w:hAnsi="Times New Roman" w:cs="Times New Roman"/>
                <w:sz w:val="24"/>
              </w:rPr>
              <w:t>[10]</w:t>
            </w:r>
            <w:r w:rsidRPr="00F76EA1">
              <w:rPr>
                <w:rFonts w:ascii="Times New Roman" w:eastAsia="宋体" w:hAnsi="Times New Roman" w:cs="Times New Roman"/>
                <w:sz w:val="24"/>
              </w:rPr>
              <w:t>、去中心化的方式，实现油田传感器数据安全传输</w:t>
            </w:r>
            <w:r w:rsidRPr="00F76EA1">
              <w:rPr>
                <w:rFonts w:ascii="Times New Roman" w:eastAsia="宋体" w:hAnsi="Times New Roman" w:cs="Times New Roman"/>
                <w:sz w:val="24"/>
              </w:rPr>
              <w:t>[11]</w:t>
            </w:r>
          </w:p>
        </w:tc>
        <w:tc>
          <w:tcPr>
            <w:tcW w:w="1843" w:type="dxa"/>
            <w:tcBorders>
              <w:top w:val="nil"/>
              <w:left w:val="nil"/>
              <w:bottom w:val="single" w:sz="8" w:space="0" w:color="auto"/>
              <w:right w:val="single" w:sz="8" w:space="0" w:color="auto"/>
            </w:tcBorders>
            <w:vAlign w:val="center"/>
            <w:hideMark/>
          </w:tcPr>
          <w:p w14:paraId="381EF1C7"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融合传感器网络、边缘计算、去中心化和无线通信，实现全流程感知</w:t>
            </w:r>
          </w:p>
        </w:tc>
        <w:tc>
          <w:tcPr>
            <w:tcW w:w="4468" w:type="dxa"/>
            <w:tcBorders>
              <w:top w:val="nil"/>
              <w:left w:val="nil"/>
              <w:bottom w:val="single" w:sz="8" w:space="0" w:color="auto"/>
              <w:right w:val="single" w:sz="8" w:space="0" w:color="auto"/>
            </w:tcBorders>
          </w:tcPr>
          <w:p w14:paraId="162E2607"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有研究表明，物联网和智能感知技术能够实现油气生产设备的实时监测与数据管理。例如，有研究构建了基于</w:t>
            </w:r>
            <w:r w:rsidRPr="00F76EA1">
              <w:rPr>
                <w:rFonts w:ascii="Times New Roman" w:eastAsia="宋体" w:hAnsi="Times New Roman" w:cs="Times New Roman"/>
                <w:sz w:val="24"/>
              </w:rPr>
              <w:t>IoT</w:t>
            </w:r>
            <w:r w:rsidRPr="00F76EA1">
              <w:rPr>
                <w:rFonts w:ascii="Times New Roman" w:eastAsia="宋体" w:hAnsi="Times New Roman" w:cs="Times New Roman"/>
                <w:sz w:val="24"/>
              </w:rPr>
              <w:t>的油田监测原型系统，通过树莓派与多传感器采集设备运行参数，并结合区块链实现数据安全存储。实验基于超过</w:t>
            </w:r>
            <w:r w:rsidRPr="00F76EA1">
              <w:rPr>
                <w:rFonts w:ascii="Times New Roman" w:eastAsia="宋体" w:hAnsi="Times New Roman" w:cs="Times New Roman"/>
                <w:sz w:val="24"/>
              </w:rPr>
              <w:t>1500</w:t>
            </w:r>
            <w:r w:rsidRPr="00F76EA1">
              <w:rPr>
                <w:rFonts w:ascii="Times New Roman" w:eastAsia="宋体" w:hAnsi="Times New Roman" w:cs="Times New Roman"/>
                <w:sz w:val="24"/>
              </w:rPr>
              <w:t>万条钻井数据记录进行验证，结果表明该系统在数据规模扩大时仍具有良好的可扩展性，并可通过数据批处理显著降低通信和计算资源消耗，从而支持大规模油田实时监测与运维管理。（</w:t>
            </w:r>
            <w:r w:rsidRPr="00F76EA1">
              <w:rPr>
                <w:rFonts w:ascii="Times New Roman" w:eastAsia="宋体" w:hAnsi="Times New Roman" w:cs="Times New Roman"/>
                <w:sz w:val="24"/>
              </w:rPr>
              <w:t>https://</w:t>
            </w:r>
            <w:proofErr w:type="spellStart"/>
            <w:r w:rsidRPr="00F76EA1">
              <w:rPr>
                <w:rFonts w:ascii="Times New Roman" w:eastAsia="宋体" w:hAnsi="Times New Roman" w:cs="Times New Roman"/>
                <w:sz w:val="24"/>
              </w:rPr>
              <w:t>doi.org</w:t>
            </w:r>
            <w:proofErr w:type="spellEnd"/>
            <w:r w:rsidRPr="00F76EA1">
              <w:rPr>
                <w:rFonts w:ascii="Times New Roman" w:eastAsia="宋体" w:hAnsi="Times New Roman" w:cs="Times New Roman"/>
                <w:sz w:val="24"/>
              </w:rPr>
              <w:t>/10.1016/</w:t>
            </w:r>
            <w:proofErr w:type="spellStart"/>
            <w:r w:rsidRPr="00F76EA1">
              <w:rPr>
                <w:rFonts w:ascii="Times New Roman" w:eastAsia="宋体" w:hAnsi="Times New Roman" w:cs="Times New Roman"/>
                <w:sz w:val="24"/>
              </w:rPr>
              <w:t>j.bcra.2025.100425</w:t>
            </w:r>
            <w:proofErr w:type="spellEnd"/>
            <w:r w:rsidRPr="00F76EA1">
              <w:rPr>
                <w:rFonts w:ascii="Times New Roman" w:eastAsia="宋体" w:hAnsi="Times New Roman" w:cs="Times New Roman"/>
                <w:sz w:val="24"/>
              </w:rPr>
              <w:t>）</w:t>
            </w:r>
          </w:p>
        </w:tc>
      </w:tr>
      <w:tr w:rsidR="00FF5552" w:rsidRPr="00F76EA1" w14:paraId="11C0D52F" w14:textId="77777777" w:rsidTr="00CB00A6">
        <w:trPr>
          <w:jc w:val="center"/>
        </w:trPr>
        <w:tc>
          <w:tcPr>
            <w:tcW w:w="947" w:type="dxa"/>
            <w:tcBorders>
              <w:top w:val="nil"/>
              <w:left w:val="single" w:sz="8" w:space="0" w:color="auto"/>
              <w:bottom w:val="single" w:sz="8" w:space="0" w:color="auto"/>
              <w:right w:val="single" w:sz="8" w:space="0" w:color="auto"/>
            </w:tcBorders>
            <w:vAlign w:val="center"/>
            <w:hideMark/>
          </w:tcPr>
          <w:p w14:paraId="52880873"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数字</w:t>
            </w:r>
            <w:proofErr w:type="gramStart"/>
            <w:r w:rsidRPr="00F76EA1">
              <w:rPr>
                <w:rFonts w:ascii="Times New Roman" w:eastAsia="宋体" w:hAnsi="Times New Roman" w:cs="Times New Roman"/>
                <w:sz w:val="24"/>
              </w:rPr>
              <w:t>孪生与</w:t>
            </w:r>
            <w:proofErr w:type="gramEnd"/>
            <w:r w:rsidRPr="00F76EA1">
              <w:rPr>
                <w:rFonts w:ascii="Times New Roman" w:eastAsia="宋体" w:hAnsi="Times New Roman" w:cs="Times New Roman"/>
                <w:sz w:val="24"/>
              </w:rPr>
              <w:t>智能决策</w:t>
            </w:r>
          </w:p>
        </w:tc>
        <w:tc>
          <w:tcPr>
            <w:tcW w:w="1028" w:type="dxa"/>
            <w:tcBorders>
              <w:top w:val="nil"/>
              <w:left w:val="nil"/>
              <w:bottom w:val="single" w:sz="8" w:space="0" w:color="auto"/>
              <w:right w:val="single" w:sz="8" w:space="0" w:color="auto"/>
            </w:tcBorders>
            <w:vAlign w:val="center"/>
            <w:hideMark/>
          </w:tcPr>
          <w:p w14:paraId="47B9058F"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油田运行优化、风险管控</w:t>
            </w:r>
            <w:r w:rsidRPr="00F76EA1">
              <w:rPr>
                <w:rFonts w:ascii="Times New Roman" w:eastAsia="宋体" w:hAnsi="Times New Roman" w:cs="Times New Roman"/>
                <w:sz w:val="24"/>
              </w:rPr>
              <w:t>[12]</w:t>
            </w:r>
          </w:p>
        </w:tc>
        <w:tc>
          <w:tcPr>
            <w:tcW w:w="1843" w:type="dxa"/>
            <w:tcBorders>
              <w:top w:val="nil"/>
              <w:left w:val="nil"/>
              <w:bottom w:val="single" w:sz="8" w:space="0" w:color="auto"/>
              <w:right w:val="single" w:sz="8" w:space="0" w:color="auto"/>
            </w:tcBorders>
            <w:vAlign w:val="center"/>
            <w:hideMark/>
          </w:tcPr>
          <w:p w14:paraId="20171A5D"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耦合物理模型与数据驱动模型，支持智能决策与模拟预测</w:t>
            </w:r>
          </w:p>
        </w:tc>
        <w:tc>
          <w:tcPr>
            <w:tcW w:w="4468" w:type="dxa"/>
            <w:tcBorders>
              <w:top w:val="nil"/>
              <w:left w:val="nil"/>
              <w:bottom w:val="single" w:sz="8" w:space="0" w:color="auto"/>
              <w:right w:val="single" w:sz="8" w:space="0" w:color="auto"/>
            </w:tcBorders>
          </w:tcPr>
          <w:p w14:paraId="315B2C57"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一篇</w:t>
            </w:r>
            <w:r w:rsidRPr="00F76EA1">
              <w:rPr>
                <w:rFonts w:ascii="Times New Roman" w:eastAsia="宋体" w:hAnsi="Times New Roman" w:cs="Times New Roman"/>
                <w:sz w:val="24"/>
              </w:rPr>
              <w:t>MIT</w:t>
            </w:r>
            <w:r w:rsidRPr="00F76EA1">
              <w:rPr>
                <w:rFonts w:ascii="Times New Roman" w:eastAsia="宋体" w:hAnsi="Times New Roman" w:cs="Times New Roman"/>
                <w:sz w:val="24"/>
              </w:rPr>
              <w:t>开源文章表明，数字孪生技术通过构建油气生产系统的虚拟模型，并结合实时数据和预测分析，实现对油田运行状态的实时监测、预测和优化。相关研究提出了一系列用于评估数字孪生系统性能的指标，包括平均故障间隔时间（</w:t>
            </w:r>
            <w:r w:rsidRPr="00F76EA1">
              <w:rPr>
                <w:rFonts w:ascii="Times New Roman" w:eastAsia="宋体" w:hAnsi="Times New Roman" w:cs="Times New Roman"/>
                <w:sz w:val="24"/>
              </w:rPr>
              <w:t>MTBF</w:t>
            </w:r>
            <w:r w:rsidRPr="00F76EA1">
              <w:rPr>
                <w:rFonts w:ascii="Times New Roman" w:eastAsia="宋体" w:hAnsi="Times New Roman" w:cs="Times New Roman"/>
                <w:sz w:val="24"/>
              </w:rPr>
              <w:t>）、系统预测精度（</w:t>
            </w:r>
            <w:r w:rsidRPr="00F76EA1">
              <w:rPr>
                <w:rFonts w:ascii="Times New Roman" w:eastAsia="宋体" w:hAnsi="Times New Roman" w:cs="Times New Roman"/>
                <w:sz w:val="24"/>
              </w:rPr>
              <w:t xml:space="preserve">System </w:t>
            </w:r>
            <w:r w:rsidRPr="00F76EA1">
              <w:rPr>
                <w:rFonts w:ascii="Times New Roman" w:eastAsia="宋体" w:hAnsi="Times New Roman" w:cs="Times New Roman"/>
                <w:sz w:val="24"/>
              </w:rPr>
              <w:lastRenderedPageBreak/>
              <w:t>Fidelity</w:t>
            </w:r>
            <w:r w:rsidRPr="00F76EA1">
              <w:rPr>
                <w:rFonts w:ascii="Times New Roman" w:eastAsia="宋体" w:hAnsi="Times New Roman" w:cs="Times New Roman"/>
                <w:sz w:val="24"/>
              </w:rPr>
              <w:t>）、数据延迟（</w:t>
            </w:r>
            <w:r w:rsidRPr="00F76EA1">
              <w:rPr>
                <w:rFonts w:ascii="Times New Roman" w:eastAsia="宋体" w:hAnsi="Times New Roman" w:cs="Times New Roman"/>
                <w:sz w:val="24"/>
              </w:rPr>
              <w:t>Latency</w:t>
            </w:r>
            <w:r w:rsidRPr="00F76EA1">
              <w:rPr>
                <w:rFonts w:ascii="Times New Roman" w:eastAsia="宋体" w:hAnsi="Times New Roman" w:cs="Times New Roman"/>
                <w:sz w:val="24"/>
              </w:rPr>
              <w:t>）以及生命周期成本和净现值（</w:t>
            </w:r>
            <w:r w:rsidRPr="00F76EA1">
              <w:rPr>
                <w:rFonts w:ascii="Times New Roman" w:eastAsia="宋体" w:hAnsi="Times New Roman" w:cs="Times New Roman"/>
                <w:sz w:val="24"/>
              </w:rPr>
              <w:t>NPV</w:t>
            </w:r>
            <w:r w:rsidRPr="00F76EA1">
              <w:rPr>
                <w:rFonts w:ascii="Times New Roman" w:eastAsia="宋体" w:hAnsi="Times New Roman" w:cs="Times New Roman"/>
                <w:sz w:val="24"/>
              </w:rPr>
              <w:t>）等。模拟结果表明，在海上深水生产设施中应用数字孪生技术可通过提前预测设备故障和减少停机时间提升生产设施可用性，并在</w:t>
            </w:r>
            <w:r w:rsidRPr="00F76EA1">
              <w:rPr>
                <w:rFonts w:ascii="Times New Roman" w:eastAsia="宋体" w:hAnsi="Times New Roman" w:cs="Times New Roman"/>
                <w:sz w:val="24"/>
              </w:rPr>
              <w:t>27</w:t>
            </w:r>
            <w:r w:rsidRPr="00F76EA1">
              <w:rPr>
                <w:rFonts w:ascii="Times New Roman" w:eastAsia="宋体" w:hAnsi="Times New Roman" w:cs="Times New Roman"/>
                <w:sz w:val="24"/>
              </w:rPr>
              <w:t>年的生命周期内带来约</w:t>
            </w:r>
            <w:r w:rsidRPr="00F76EA1">
              <w:rPr>
                <w:rFonts w:ascii="Times New Roman" w:eastAsia="宋体" w:hAnsi="Times New Roman" w:cs="Times New Roman"/>
                <w:sz w:val="24"/>
              </w:rPr>
              <w:t>2.11</w:t>
            </w:r>
            <w:r w:rsidRPr="00F76EA1">
              <w:rPr>
                <w:rFonts w:ascii="Times New Roman" w:eastAsia="宋体" w:hAnsi="Times New Roman" w:cs="Times New Roman"/>
                <w:sz w:val="24"/>
              </w:rPr>
              <w:t>亿美元的净现值提升，从而显著增强油田运行优化与风险管控能力。（</w:t>
            </w:r>
            <w:r>
              <w:fldChar w:fldCharType="begin"/>
            </w:r>
            <w:r>
              <w:instrText>HYPERLINK "https://dspace.mit.edu/bitstream/handle/1721.1/132840/1263186138-MIT.pdf"</w:instrText>
            </w:r>
            <w:r>
              <w:fldChar w:fldCharType="separate"/>
            </w:r>
            <w:r w:rsidRPr="00F76EA1">
              <w:rPr>
                <w:rStyle w:val="afb"/>
                <w:rFonts w:ascii="Times New Roman" w:eastAsia="宋体" w:hAnsi="Times New Roman" w:cs="Times New Roman"/>
                <w:sz w:val="24"/>
              </w:rPr>
              <w:t>https://dspace.mit.edu/bitstream/handle/1721.1/132840/1263186138-MIT.pdf</w:t>
            </w:r>
            <w:r>
              <w:fldChar w:fldCharType="end"/>
            </w:r>
            <w:r w:rsidRPr="00F76EA1">
              <w:rPr>
                <w:rFonts w:ascii="Times New Roman" w:eastAsia="宋体" w:hAnsi="Times New Roman" w:cs="Times New Roman"/>
                <w:sz w:val="24"/>
              </w:rPr>
              <w:t>）</w:t>
            </w:r>
          </w:p>
        </w:tc>
      </w:tr>
      <w:tr w:rsidR="00FF5552" w:rsidRPr="00F76EA1" w14:paraId="03C4BB5E" w14:textId="77777777" w:rsidTr="00CB00A6">
        <w:trPr>
          <w:jc w:val="center"/>
        </w:trPr>
        <w:tc>
          <w:tcPr>
            <w:tcW w:w="947" w:type="dxa"/>
            <w:tcBorders>
              <w:top w:val="nil"/>
              <w:left w:val="single" w:sz="8" w:space="0" w:color="auto"/>
              <w:bottom w:val="single" w:sz="8" w:space="0" w:color="auto"/>
              <w:right w:val="single" w:sz="8" w:space="0" w:color="auto"/>
            </w:tcBorders>
            <w:vAlign w:val="center"/>
            <w:hideMark/>
          </w:tcPr>
          <w:p w14:paraId="2DBF1BCE"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lastRenderedPageBreak/>
              <w:t>机器人与自动化装备</w:t>
            </w:r>
          </w:p>
        </w:tc>
        <w:tc>
          <w:tcPr>
            <w:tcW w:w="1028" w:type="dxa"/>
            <w:tcBorders>
              <w:top w:val="nil"/>
              <w:left w:val="nil"/>
              <w:bottom w:val="single" w:sz="8" w:space="0" w:color="auto"/>
              <w:right w:val="single" w:sz="8" w:space="0" w:color="auto"/>
            </w:tcBorders>
            <w:vAlign w:val="center"/>
            <w:hideMark/>
          </w:tcPr>
          <w:p w14:paraId="179A7C5D"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高危、高温、高压环境下作业，甚至到深海油田开采</w:t>
            </w:r>
            <w:r w:rsidRPr="00F76EA1">
              <w:rPr>
                <w:rFonts w:ascii="Times New Roman" w:eastAsia="宋体" w:hAnsi="Times New Roman" w:cs="Times New Roman"/>
                <w:sz w:val="24"/>
              </w:rPr>
              <w:t>[13]</w:t>
            </w:r>
          </w:p>
        </w:tc>
        <w:tc>
          <w:tcPr>
            <w:tcW w:w="1843" w:type="dxa"/>
            <w:tcBorders>
              <w:top w:val="nil"/>
              <w:left w:val="nil"/>
              <w:bottom w:val="single" w:sz="8" w:space="0" w:color="auto"/>
              <w:right w:val="single" w:sz="8" w:space="0" w:color="auto"/>
            </w:tcBorders>
            <w:vAlign w:val="center"/>
            <w:hideMark/>
          </w:tcPr>
          <w:p w14:paraId="1CA1BD0D"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替代人工，实现安全、高效、自动化操作</w:t>
            </w:r>
          </w:p>
        </w:tc>
        <w:tc>
          <w:tcPr>
            <w:tcW w:w="4468" w:type="dxa"/>
            <w:tcBorders>
              <w:top w:val="nil"/>
              <w:left w:val="nil"/>
              <w:bottom w:val="single" w:sz="8" w:space="0" w:color="auto"/>
              <w:right w:val="single" w:sz="8" w:space="0" w:color="auto"/>
            </w:tcBorders>
          </w:tcPr>
          <w:p w14:paraId="03DE5738" w14:textId="77777777" w:rsidR="00FF5552" w:rsidRPr="00F76EA1" w:rsidRDefault="00FF5552" w:rsidP="00CB00A6">
            <w:pPr>
              <w:rPr>
                <w:rFonts w:ascii="Times New Roman" w:eastAsia="宋体" w:hAnsi="Times New Roman" w:cs="Times New Roman"/>
                <w:sz w:val="24"/>
              </w:rPr>
            </w:pPr>
            <w:r w:rsidRPr="00F76EA1">
              <w:rPr>
                <w:rFonts w:ascii="Times New Roman" w:eastAsia="宋体" w:hAnsi="Times New Roman" w:cs="Times New Roman"/>
                <w:sz w:val="24"/>
              </w:rPr>
              <w:t>油气行业巡检机器人在安全性与运维效率方面表现出显著优势。研究表明，在部署机器人巡检系统后，油气设施中的安全事故数量可减少约</w:t>
            </w:r>
            <w:r w:rsidRPr="00F76EA1">
              <w:rPr>
                <w:rFonts w:ascii="Times New Roman" w:eastAsia="宋体" w:hAnsi="Times New Roman" w:cs="Times New Roman"/>
                <w:sz w:val="24"/>
              </w:rPr>
              <w:t>60%</w:t>
            </w:r>
            <w:r w:rsidRPr="00F76EA1">
              <w:rPr>
                <w:rFonts w:ascii="Times New Roman" w:eastAsia="宋体" w:hAnsi="Times New Roman" w:cs="Times New Roman"/>
                <w:sz w:val="24"/>
              </w:rPr>
              <w:t>，主要由于机器人能够替代人工进入高温、高压及密闭空间等危险环境进行检测。此外，油气行业每年因设备故障导致的非计划停机损失约</w:t>
            </w:r>
            <w:r w:rsidRPr="00F76EA1">
              <w:rPr>
                <w:rFonts w:ascii="Times New Roman" w:eastAsia="宋体" w:hAnsi="Times New Roman" w:cs="Times New Roman"/>
                <w:sz w:val="24"/>
              </w:rPr>
              <w:t>490</w:t>
            </w:r>
            <w:r w:rsidRPr="00F76EA1">
              <w:rPr>
                <w:rFonts w:ascii="Times New Roman" w:eastAsia="宋体" w:hAnsi="Times New Roman" w:cs="Times New Roman"/>
                <w:sz w:val="24"/>
              </w:rPr>
              <w:t>亿美元，而机器人能够通过连续监测和预测性维护显著降低停机风险。当前巡检机器人系统的单套成本约为</w:t>
            </w:r>
            <w:r w:rsidRPr="00F76EA1">
              <w:rPr>
                <w:rFonts w:ascii="Times New Roman" w:eastAsia="宋体" w:hAnsi="Times New Roman" w:cs="Times New Roman"/>
                <w:sz w:val="24"/>
              </w:rPr>
              <w:t>50</w:t>
            </w:r>
            <w:r w:rsidRPr="00F76EA1">
              <w:rPr>
                <w:rFonts w:ascii="Times New Roman" w:eastAsia="宋体" w:hAnsi="Times New Roman" w:cs="Times New Roman"/>
                <w:sz w:val="24"/>
              </w:rPr>
              <w:t>万至</w:t>
            </w:r>
            <w:r w:rsidRPr="00F76EA1">
              <w:rPr>
                <w:rFonts w:ascii="Times New Roman" w:eastAsia="宋体" w:hAnsi="Times New Roman" w:cs="Times New Roman"/>
                <w:sz w:val="24"/>
              </w:rPr>
              <w:t>200</w:t>
            </w:r>
            <w:r w:rsidRPr="00F76EA1">
              <w:rPr>
                <w:rFonts w:ascii="Times New Roman" w:eastAsia="宋体" w:hAnsi="Times New Roman" w:cs="Times New Roman"/>
                <w:sz w:val="24"/>
              </w:rPr>
              <w:t>万美元，其设计需适应极端工况，例如</w:t>
            </w:r>
            <w:r w:rsidRPr="00F76EA1">
              <w:rPr>
                <w:rFonts w:ascii="Times New Roman" w:eastAsia="微软雅黑" w:hAnsi="Times New Roman" w:cs="Times New Roman"/>
                <w:sz w:val="24"/>
              </w:rPr>
              <w:t>−</w:t>
            </w:r>
            <w:proofErr w:type="spellStart"/>
            <w:r w:rsidRPr="00F76EA1">
              <w:rPr>
                <w:rFonts w:ascii="Times New Roman" w:eastAsia="宋体" w:hAnsi="Times New Roman" w:cs="Times New Roman"/>
                <w:sz w:val="24"/>
              </w:rPr>
              <w:t>40°C</w:t>
            </w:r>
            <w:proofErr w:type="spellEnd"/>
            <w:r w:rsidRPr="00F76EA1">
              <w:rPr>
                <w:rFonts w:ascii="Times New Roman" w:eastAsia="宋体" w:hAnsi="Times New Roman" w:cs="Times New Roman"/>
                <w:sz w:val="24"/>
              </w:rPr>
              <w:t>至</w:t>
            </w:r>
            <w:proofErr w:type="spellStart"/>
            <w:r w:rsidRPr="00F76EA1">
              <w:rPr>
                <w:rFonts w:ascii="Times New Roman" w:eastAsia="宋体" w:hAnsi="Times New Roman" w:cs="Times New Roman"/>
                <w:sz w:val="24"/>
              </w:rPr>
              <w:t>93°C</w:t>
            </w:r>
            <w:proofErr w:type="spellEnd"/>
            <w:r w:rsidRPr="00F76EA1">
              <w:rPr>
                <w:rFonts w:ascii="Times New Roman" w:eastAsia="宋体" w:hAnsi="Times New Roman" w:cs="Times New Roman"/>
                <w:sz w:val="24"/>
              </w:rPr>
              <w:t>的温度范围以及最高约</w:t>
            </w:r>
            <w:r w:rsidRPr="00F76EA1">
              <w:rPr>
                <w:rFonts w:ascii="Times New Roman" w:eastAsia="宋体" w:hAnsi="Times New Roman" w:cs="Times New Roman"/>
                <w:sz w:val="24"/>
              </w:rPr>
              <w:t>15000 PSI</w:t>
            </w:r>
            <w:r w:rsidRPr="00F76EA1">
              <w:rPr>
                <w:rFonts w:ascii="Times New Roman" w:eastAsia="宋体" w:hAnsi="Times New Roman" w:cs="Times New Roman"/>
                <w:sz w:val="24"/>
              </w:rPr>
              <w:t>的高压环境，从而满足复杂油田设施巡检需求。（</w:t>
            </w:r>
            <w:r w:rsidRPr="00F76EA1">
              <w:rPr>
                <w:rFonts w:ascii="Times New Roman" w:eastAsia="宋体" w:hAnsi="Times New Roman" w:cs="Times New Roman"/>
                <w:sz w:val="24"/>
              </w:rPr>
              <w:fldChar w:fldCharType="begin"/>
            </w:r>
            <w:r w:rsidRPr="00F76EA1">
              <w:rPr>
                <w:rFonts w:ascii="Times New Roman" w:eastAsia="宋体" w:hAnsi="Times New Roman" w:cs="Times New Roman"/>
                <w:sz w:val="24"/>
              </w:rPr>
              <w:instrText>HYPERLINK "https://datahorizzonresearch.com/inspection-robotics-in-oil-and-gas-market-63664"</w:instrText>
            </w:r>
            <w:r w:rsidRPr="00F76EA1">
              <w:rPr>
                <w:rFonts w:ascii="Times New Roman" w:eastAsia="宋体" w:hAnsi="Times New Roman" w:cs="Times New Roman"/>
                <w:sz w:val="24"/>
              </w:rPr>
            </w:r>
            <w:r w:rsidRPr="00F76EA1">
              <w:rPr>
                <w:rFonts w:ascii="Times New Roman" w:eastAsia="宋体" w:hAnsi="Times New Roman" w:cs="Times New Roman"/>
                <w:sz w:val="24"/>
              </w:rPr>
              <w:fldChar w:fldCharType="separate"/>
            </w:r>
            <w:r w:rsidRPr="00F76EA1">
              <w:rPr>
                <w:rStyle w:val="afb"/>
                <w:rFonts w:ascii="Times New Roman" w:eastAsia="宋体" w:hAnsi="Times New Roman" w:cs="Times New Roman"/>
                <w:sz w:val="24"/>
              </w:rPr>
              <w:t>https://datahorizzonresearch.com/inspection-robotics-in-oil-and-gas-market-63664</w:t>
            </w:r>
            <w:r w:rsidRPr="00F76EA1">
              <w:rPr>
                <w:rFonts w:ascii="Times New Roman" w:eastAsia="宋体" w:hAnsi="Times New Roman" w:cs="Times New Roman"/>
                <w:sz w:val="24"/>
              </w:rPr>
              <w:fldChar w:fldCharType="end"/>
            </w:r>
            <w:r w:rsidRPr="00F76EA1">
              <w:rPr>
                <w:rFonts w:ascii="Times New Roman" w:eastAsia="宋体" w:hAnsi="Times New Roman" w:cs="Times New Roman"/>
                <w:sz w:val="24"/>
              </w:rPr>
              <w:t>）</w:t>
            </w:r>
          </w:p>
        </w:tc>
      </w:tr>
    </w:tbl>
    <w:p w14:paraId="4100C7A1" w14:textId="77777777" w:rsidR="00C35419" w:rsidRPr="00FF5552" w:rsidRDefault="00C35419" w:rsidP="00FF5552">
      <w:pPr>
        <w:jc w:val="both"/>
        <w:rPr>
          <w:rFonts w:ascii="宋体" w:eastAsia="宋体" w:hAnsi="宋体" w:hint="eastAsia"/>
          <w:sz w:val="24"/>
        </w:rPr>
      </w:pPr>
    </w:p>
    <w:p w14:paraId="0F4839B4" w14:textId="0DDB7BF7" w:rsidR="00C35419" w:rsidRPr="004C748D" w:rsidRDefault="00C35419" w:rsidP="00583AA0">
      <w:pPr>
        <w:ind w:firstLine="420"/>
        <w:jc w:val="both"/>
        <w:rPr>
          <w:rFonts w:ascii="宋体" w:eastAsia="宋体" w:hAnsi="宋体" w:hint="eastAsia"/>
          <w:sz w:val="24"/>
        </w:rPr>
      </w:pPr>
      <w:r w:rsidRPr="004C748D">
        <w:rPr>
          <w:rFonts w:ascii="宋体" w:eastAsia="宋体" w:hAnsi="宋体"/>
          <w:sz w:val="24"/>
        </w:rPr>
        <w:t>观察全球智能油田开发领域的发文空间分布（见图</w:t>
      </w:r>
      <w:r w:rsidRPr="004C748D">
        <w:rPr>
          <w:rFonts w:ascii="宋体" w:eastAsia="宋体" w:hAnsi="宋体" w:hint="eastAsia"/>
          <w:sz w:val="24"/>
        </w:rPr>
        <w:t>5</w:t>
      </w:r>
      <w:r w:rsidRPr="004C748D">
        <w:rPr>
          <w:rFonts w:ascii="宋体" w:eastAsia="宋体" w:hAnsi="宋体"/>
          <w:sz w:val="24"/>
        </w:rPr>
        <w:t>）可以发现，科研产出高度集中于世界主要产油大国。图中显示，中国、美国、俄罗斯、加拿大、巴西及中东部分产油国是该领域学术贡献的核心力量，这种分布格局揭示了“资源禀赋驱动科研投入”的行业特征。</w:t>
      </w:r>
    </w:p>
    <w:p w14:paraId="5C81F88B" w14:textId="45FAB575" w:rsidR="001A19E2" w:rsidRPr="001A19E2" w:rsidRDefault="00C35419" w:rsidP="003B1E84">
      <w:pPr>
        <w:ind w:firstLine="420"/>
        <w:jc w:val="both"/>
        <w:rPr>
          <w:rFonts w:ascii="宋体" w:eastAsia="宋体" w:hAnsi="宋体" w:hint="eastAsia"/>
          <w:sz w:val="24"/>
        </w:rPr>
      </w:pPr>
      <w:r w:rsidRPr="004C748D">
        <w:rPr>
          <w:rFonts w:ascii="宋体" w:eastAsia="宋体" w:hAnsi="宋体"/>
          <w:sz w:val="24"/>
        </w:rPr>
        <w:t>其中，中国凭借其在智慧油田建设上的国家战略优势，发文量位居全球首位，呈现出极强的研发势头</w:t>
      </w:r>
      <w:r w:rsidR="00A22DFC" w:rsidRPr="004C748D">
        <w:rPr>
          <w:rFonts w:ascii="宋体" w:eastAsia="宋体" w:hAnsi="宋体" w:hint="eastAsia"/>
          <w:sz w:val="24"/>
        </w:rPr>
        <w:t>，如</w:t>
      </w:r>
      <w:r w:rsidR="00A22DFC" w:rsidRPr="004C748D">
        <w:rPr>
          <w:rFonts w:ascii="宋体" w:eastAsia="宋体" w:hAnsi="宋体"/>
          <w:sz w:val="24"/>
        </w:rPr>
        <w:t>中国东南海</w:t>
      </w:r>
      <w:r w:rsidR="00A22DFC" w:rsidRPr="004C748D">
        <w:rPr>
          <w:rFonts w:ascii="宋体" w:eastAsia="宋体" w:hAnsi="宋体" w:hint="eastAsia"/>
          <w:sz w:val="24"/>
        </w:rPr>
        <w:t>已</w:t>
      </w:r>
      <w:r w:rsidR="004447A3" w:rsidRPr="004C748D">
        <w:rPr>
          <w:rFonts w:ascii="宋体" w:eastAsia="宋体" w:hAnsi="宋体" w:hint="eastAsia"/>
          <w:sz w:val="24"/>
        </w:rPr>
        <w:t>建设</w:t>
      </w:r>
      <w:r w:rsidR="00A22DFC" w:rsidRPr="004C748D">
        <w:rPr>
          <w:rFonts w:ascii="宋体" w:eastAsia="宋体" w:hAnsi="宋体" w:hint="eastAsia"/>
          <w:sz w:val="24"/>
        </w:rPr>
        <w:t>有先进的智能化海上油田应用</w:t>
      </w:r>
      <w:r w:rsidR="004447A3" w:rsidRPr="004C748D">
        <w:rPr>
          <w:rFonts w:ascii="宋体" w:eastAsia="宋体" w:hAnsi="宋体" w:hint="eastAsia"/>
          <w:sz w:val="24"/>
        </w:rPr>
        <w:t>，融合</w:t>
      </w:r>
      <w:r w:rsidR="004447A3" w:rsidRPr="004C748D">
        <w:rPr>
          <w:rFonts w:ascii="宋体" w:eastAsia="宋体" w:hAnsi="宋体"/>
          <w:sz w:val="24"/>
        </w:rPr>
        <w:t>监控、传感、机器人等</w:t>
      </w:r>
      <w:r w:rsidR="00A22DFC" w:rsidRPr="004C748D">
        <w:rPr>
          <w:rFonts w:ascii="宋体" w:eastAsia="宋体" w:hAnsi="宋体" w:hint="eastAsia"/>
          <w:sz w:val="24"/>
        </w:rPr>
        <w:t>[14]</w:t>
      </w:r>
      <w:r w:rsidRPr="004C748D">
        <w:rPr>
          <w:rFonts w:ascii="宋体" w:eastAsia="宋体" w:hAnsi="宋体"/>
          <w:sz w:val="24"/>
        </w:rPr>
        <w:t>；而美、俄、</w:t>
      </w:r>
      <w:r w:rsidR="004B61EE" w:rsidRPr="004C748D">
        <w:rPr>
          <w:rFonts w:ascii="宋体" w:eastAsia="宋体" w:hAnsi="宋体" w:hint="eastAsia"/>
          <w:sz w:val="24"/>
        </w:rPr>
        <w:t>沙特</w:t>
      </w:r>
      <w:r w:rsidRPr="004C748D">
        <w:rPr>
          <w:rFonts w:ascii="宋体" w:eastAsia="宋体" w:hAnsi="宋体"/>
          <w:sz w:val="24"/>
        </w:rPr>
        <w:t>等传统产油强国紧随其后</w:t>
      </w:r>
      <w:r w:rsidR="0099458C" w:rsidRPr="004C748D">
        <w:rPr>
          <w:rFonts w:ascii="宋体" w:eastAsia="宋体" w:hAnsi="宋体" w:hint="eastAsia"/>
          <w:sz w:val="24"/>
        </w:rPr>
        <w:t>，如</w:t>
      </w:r>
      <w:r w:rsidR="0099458C" w:rsidRPr="004C748D">
        <w:rPr>
          <w:rFonts w:ascii="宋体" w:eastAsia="宋体" w:hAnsi="宋体"/>
          <w:sz w:val="24"/>
        </w:rPr>
        <w:t>沙特阿美公司通过一系列项目推广智能油田理念，将数据集成到上游业务流程，包括钻井、完井、生产操作和油藏管理。例如，通过实时监控与远程操作，有助于</w:t>
      </w:r>
      <w:r w:rsidR="0099458C" w:rsidRPr="004C748D">
        <w:rPr>
          <w:rFonts w:ascii="宋体" w:eastAsia="宋体" w:hAnsi="宋体"/>
          <w:sz w:val="24"/>
        </w:rPr>
        <w:lastRenderedPageBreak/>
        <w:t>优化钻井、提高生产效率并增强生产策略的灵活性</w:t>
      </w:r>
      <w:r w:rsidR="0099458C" w:rsidRPr="004C748D">
        <w:rPr>
          <w:rFonts w:ascii="宋体" w:eastAsia="宋体" w:hAnsi="宋体" w:hint="eastAsia"/>
          <w:sz w:val="24"/>
        </w:rPr>
        <w:t>[15]</w:t>
      </w:r>
      <w:r w:rsidRPr="004C748D">
        <w:rPr>
          <w:rFonts w:ascii="宋体" w:eastAsia="宋体" w:hAnsi="宋体"/>
          <w:sz w:val="24"/>
        </w:rPr>
        <w:t>。这种高度契合的地理分布说明：石油资源的勘探开发需求是推动人工智能、大数据等前沿技术在油气领域落地的核心引擎，智能油田的研究热度与该国的能源战略地位及资源保有量呈正相关关系</w:t>
      </w:r>
      <w:r w:rsidR="00C849BE" w:rsidRPr="004C748D">
        <w:rPr>
          <w:rFonts w:ascii="宋体" w:eastAsia="宋体" w:hAnsi="宋体" w:hint="eastAsia"/>
          <w:sz w:val="24"/>
        </w:rPr>
        <w:t>[16]</w:t>
      </w:r>
      <w:r w:rsidRPr="004C748D">
        <w:rPr>
          <w:rFonts w:ascii="宋体" w:eastAsia="宋体" w:hAnsi="宋体"/>
          <w:sz w:val="24"/>
        </w:rPr>
        <w:t>。</w:t>
      </w:r>
    </w:p>
    <w:p w14:paraId="3C520CD2" w14:textId="12847006" w:rsidR="0081583B" w:rsidRPr="004C748D" w:rsidRDefault="0081583B" w:rsidP="00CF6923">
      <w:pPr>
        <w:ind w:firstLine="420"/>
        <w:jc w:val="center"/>
        <w:rPr>
          <w:rFonts w:ascii="宋体" w:eastAsia="宋体" w:hAnsi="宋体" w:hint="eastAsia"/>
          <w:sz w:val="24"/>
        </w:rPr>
      </w:pPr>
      <w:r>
        <w:rPr>
          <w:noProof/>
        </w:rPr>
        <w:drawing>
          <wp:inline distT="0" distB="0" distL="0" distR="0" wp14:anchorId="2F0DA9CE" wp14:editId="143316EE">
            <wp:extent cx="3866255" cy="2657330"/>
            <wp:effectExtent l="0" t="0" r="1270" b="0"/>
            <wp:docPr id="15592533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a:ext>
                      </a:extLst>
                    </a:blip>
                    <a:srcRect l="26649" t="22028" r="20287" b="21974"/>
                    <a:stretch>
                      <a:fillRect/>
                    </a:stretch>
                  </pic:blipFill>
                  <pic:spPr bwMode="auto">
                    <a:xfrm>
                      <a:off x="0" y="0"/>
                      <a:ext cx="3888357" cy="2672521"/>
                    </a:xfrm>
                    <a:prstGeom prst="rect">
                      <a:avLst/>
                    </a:prstGeom>
                    <a:noFill/>
                    <a:ln>
                      <a:noFill/>
                    </a:ln>
                    <a:extLst>
                      <a:ext uri="{53640926-AAD7-44D8-BBD7-CCE9431645EC}">
                        <a14:shadowObscured xmlns:a14="http://schemas.microsoft.com/office/drawing/2010/main"/>
                      </a:ext>
                    </a:extLst>
                  </pic:spPr>
                </pic:pic>
              </a:graphicData>
            </a:graphic>
          </wp:inline>
        </w:drawing>
      </w:r>
    </w:p>
    <w:p w14:paraId="1448FCA9" w14:textId="1B303878" w:rsidR="00761F7E" w:rsidRPr="004C748D" w:rsidRDefault="00761F7E" w:rsidP="00583AA0">
      <w:pPr>
        <w:jc w:val="both"/>
        <w:rPr>
          <w:rFonts w:ascii="宋体" w:eastAsia="宋体" w:hAnsi="宋体" w:hint="eastAsia"/>
          <w:sz w:val="24"/>
        </w:rPr>
      </w:pPr>
      <w:r w:rsidRPr="004C748D">
        <w:rPr>
          <w:rFonts w:ascii="宋体" w:eastAsia="宋体" w:hAnsi="宋体" w:hint="eastAsia"/>
          <w:sz w:val="24"/>
        </w:rPr>
        <w:t>图5：国家发文分布图</w:t>
      </w:r>
    </w:p>
    <w:p w14:paraId="710E59CF" w14:textId="05F2FD11" w:rsidR="0031361F" w:rsidRPr="004C748D" w:rsidRDefault="0031361F" w:rsidP="00583AA0">
      <w:pPr>
        <w:jc w:val="both"/>
        <w:rPr>
          <w:rFonts w:ascii="宋体" w:eastAsia="宋体" w:hAnsi="宋体" w:hint="eastAsia"/>
          <w:sz w:val="24"/>
        </w:rPr>
      </w:pPr>
      <w:r w:rsidRPr="004C748D">
        <w:rPr>
          <w:rFonts w:ascii="宋体" w:eastAsia="宋体" w:hAnsi="宋体" w:hint="eastAsia"/>
          <w:sz w:val="24"/>
        </w:rPr>
        <w:t>3.</w:t>
      </w:r>
      <w:r w:rsidR="00E37466" w:rsidRPr="004C748D">
        <w:rPr>
          <w:rFonts w:ascii="宋体" w:eastAsia="宋体" w:hAnsi="宋体" w:hint="eastAsia"/>
          <w:sz w:val="24"/>
        </w:rPr>
        <w:t>2核心</w:t>
      </w:r>
      <w:r w:rsidRPr="004C748D">
        <w:rPr>
          <w:rFonts w:ascii="宋体" w:eastAsia="宋体" w:hAnsi="宋体" w:hint="eastAsia"/>
          <w:sz w:val="24"/>
        </w:rPr>
        <w:t>热点分析</w:t>
      </w:r>
    </w:p>
    <w:p w14:paraId="44DF7352" w14:textId="16798D75" w:rsidR="00960E37" w:rsidRDefault="00960E37" w:rsidP="00064E88">
      <w:pPr>
        <w:ind w:firstLine="420"/>
        <w:jc w:val="both"/>
        <w:rPr>
          <w:rFonts w:ascii="宋体" w:eastAsia="宋体" w:hAnsi="宋体" w:hint="eastAsia"/>
          <w:sz w:val="24"/>
        </w:rPr>
      </w:pPr>
      <w:r w:rsidRPr="004C748D">
        <w:rPr>
          <w:rFonts w:ascii="宋体" w:eastAsia="宋体" w:hAnsi="宋体"/>
          <w:sz w:val="24"/>
        </w:rPr>
        <w:t>通过对智能油田开发领域文献的共被引分析和关键词聚类，本研究识别出该领域的核心研究热点呈现出明显的</w:t>
      </w:r>
      <w:proofErr w:type="gramStart"/>
      <w:r w:rsidRPr="004C748D">
        <w:rPr>
          <w:rFonts w:ascii="宋体" w:eastAsia="宋体" w:hAnsi="宋体"/>
          <w:sz w:val="24"/>
        </w:rPr>
        <w:t>双核心</w:t>
      </w:r>
      <w:proofErr w:type="gramEnd"/>
      <w:r w:rsidRPr="004C748D">
        <w:rPr>
          <w:rFonts w:ascii="宋体" w:eastAsia="宋体" w:hAnsi="宋体"/>
          <w:sz w:val="24"/>
        </w:rPr>
        <w:t>结构特征。如图</w:t>
      </w:r>
      <w:r w:rsidRPr="004C748D">
        <w:rPr>
          <w:rFonts w:ascii="宋体" w:eastAsia="宋体" w:hAnsi="宋体" w:hint="eastAsia"/>
          <w:sz w:val="24"/>
        </w:rPr>
        <w:t>6</w:t>
      </w:r>
      <w:r w:rsidRPr="004C748D">
        <w:rPr>
          <w:rFonts w:ascii="宋体" w:eastAsia="宋体" w:hAnsi="宋体"/>
          <w:sz w:val="24"/>
        </w:rPr>
        <w:t>所示，研究热点主要分为两大集群：左侧以人工智能技术应用为核心的智能决策集群（红色区域），右侧以运筹优化为核心的生产优化集群（绿色区域）</w:t>
      </w:r>
      <w:r w:rsidRPr="004C748D">
        <w:rPr>
          <w:rFonts w:ascii="宋体" w:eastAsia="宋体" w:hAnsi="宋体" w:hint="eastAsia"/>
          <w:sz w:val="24"/>
        </w:rPr>
        <w:t>，该模式可以通过图7对应的热力分布</w:t>
      </w:r>
      <w:proofErr w:type="gramStart"/>
      <w:r w:rsidRPr="004C748D">
        <w:rPr>
          <w:rFonts w:ascii="宋体" w:eastAsia="宋体" w:hAnsi="宋体" w:hint="eastAsia"/>
          <w:sz w:val="24"/>
        </w:rPr>
        <w:t>图再次</w:t>
      </w:r>
      <w:proofErr w:type="gramEnd"/>
      <w:r w:rsidRPr="004C748D">
        <w:rPr>
          <w:rFonts w:ascii="宋体" w:eastAsia="宋体" w:hAnsi="宋体" w:hint="eastAsia"/>
          <w:sz w:val="24"/>
        </w:rPr>
        <w:t>验证</w:t>
      </w:r>
      <w:r w:rsidRPr="004C748D">
        <w:rPr>
          <w:rFonts w:ascii="宋体" w:eastAsia="宋体" w:hAnsi="宋体"/>
          <w:sz w:val="24"/>
        </w:rPr>
        <w:t>。这种双核驱动的研究格局反映了智能油田开发正在从传统的经验驱动向"AI赋能+数学优化"的双轮驱动模式转型，体现了该领域技术创新的两个关键维度：一是利用人工智能技术实现对复杂油藏系统的智能认知与预测，二是运用运筹优化方法实现油田生产系统的科学决策与高效运营。</w:t>
      </w:r>
    </w:p>
    <w:p w14:paraId="34AEFE56" w14:textId="6CEE0CE5" w:rsidR="00F1199C" w:rsidRPr="0019334C" w:rsidRDefault="00F1199C" w:rsidP="00064E88">
      <w:pPr>
        <w:ind w:firstLine="420"/>
        <w:jc w:val="both"/>
        <w:rPr>
          <w:rFonts w:ascii="宋体" w:eastAsia="宋体" w:hAnsi="宋体" w:hint="eastAsia"/>
          <w:sz w:val="24"/>
        </w:rPr>
      </w:pPr>
      <w:r w:rsidRPr="0019334C">
        <w:rPr>
          <w:rFonts w:ascii="宋体" w:eastAsia="宋体" w:hAnsi="宋体"/>
          <w:sz w:val="24"/>
        </w:rPr>
        <w:t>从文献关键字网络图和计量文献的演进路径来看，2015~2018年间，研究重心高度聚焦于"enhanced oil recovery"</w:t>
      </w:r>
      <w:r w:rsidR="0019334C">
        <w:rPr>
          <w:rFonts w:ascii="宋体" w:eastAsia="宋体" w:hAnsi="宋体" w:hint="eastAsia"/>
          <w:sz w:val="24"/>
        </w:rPr>
        <w:t>、“predication”和“optimization”</w:t>
      </w:r>
      <w:r w:rsidRPr="0019334C">
        <w:rPr>
          <w:rFonts w:ascii="宋体" w:eastAsia="宋体" w:hAnsi="宋体"/>
          <w:sz w:val="24"/>
        </w:rPr>
        <w:t>，反映出该阶段侧重于利用早期启发式算法解决单一的物理开采瓶颈；2019~2022年间，关键词</w:t>
      </w:r>
      <w:proofErr w:type="gramStart"/>
      <w:r w:rsidRPr="0019334C">
        <w:rPr>
          <w:rFonts w:ascii="宋体" w:eastAsia="宋体" w:hAnsi="宋体"/>
          <w:sz w:val="24"/>
        </w:rPr>
        <w:t>显著向</w:t>
      </w:r>
      <w:proofErr w:type="gramEnd"/>
      <w:r w:rsidRPr="0019334C">
        <w:rPr>
          <w:rFonts w:ascii="宋体" w:eastAsia="宋体" w:hAnsi="宋体"/>
          <w:sz w:val="24"/>
        </w:rPr>
        <w:t>"machine learning"、"</w:t>
      </w:r>
      <w:r w:rsidR="0019334C">
        <w:rPr>
          <w:rFonts w:ascii="宋体" w:eastAsia="宋体" w:hAnsi="宋体" w:hint="eastAsia"/>
          <w:sz w:val="24"/>
        </w:rPr>
        <w:t>performance</w:t>
      </w:r>
      <w:r w:rsidRPr="0019334C">
        <w:rPr>
          <w:rFonts w:ascii="宋体" w:eastAsia="宋体" w:hAnsi="宋体"/>
          <w:sz w:val="24"/>
        </w:rPr>
        <w:t>"</w:t>
      </w:r>
      <w:r w:rsidR="0019334C">
        <w:rPr>
          <w:rFonts w:ascii="宋体" w:eastAsia="宋体" w:hAnsi="宋体" w:hint="eastAsia"/>
          <w:sz w:val="24"/>
        </w:rPr>
        <w:t>和“model”</w:t>
      </w:r>
      <w:r w:rsidRPr="0019334C">
        <w:rPr>
          <w:rFonts w:ascii="宋体" w:eastAsia="宋体" w:hAnsi="宋体"/>
          <w:sz w:val="24"/>
        </w:rPr>
        <w:t>转移，标志着行业实现了从局部工具化向大数据驱动认知模式的范式转型；2023~2025年间，随着"deep</w:t>
      </w:r>
      <w:r w:rsidR="0019334C">
        <w:rPr>
          <w:rFonts w:ascii="宋体" w:eastAsia="宋体" w:hAnsi="宋体" w:hint="eastAsia"/>
          <w:sz w:val="24"/>
        </w:rPr>
        <w:t xml:space="preserve"> </w:t>
      </w:r>
      <w:r w:rsidRPr="0019334C">
        <w:rPr>
          <w:rFonts w:ascii="宋体" w:eastAsia="宋体" w:hAnsi="宋体"/>
          <w:sz w:val="24"/>
        </w:rPr>
        <w:t>learning"与"</w:t>
      </w:r>
      <w:r w:rsidR="0019334C" w:rsidRPr="0019334C">
        <w:rPr>
          <w:rFonts w:ascii="宋体" w:eastAsia="宋体" w:hAnsi="宋体"/>
          <w:sz w:val="24"/>
        </w:rPr>
        <w:t xml:space="preserve"> </w:t>
      </w:r>
      <w:r w:rsidR="0019334C" w:rsidRPr="004C748D">
        <w:rPr>
          <w:rFonts w:ascii="宋体" w:eastAsia="宋体" w:hAnsi="宋体"/>
          <w:sz w:val="24"/>
        </w:rPr>
        <w:t>artificial intelligence</w:t>
      </w:r>
      <w:r w:rsidRPr="0019334C">
        <w:rPr>
          <w:rFonts w:ascii="宋体" w:eastAsia="宋体" w:hAnsi="宋体"/>
          <w:sz w:val="24"/>
        </w:rPr>
        <w:t>"成为高频核心词，研究最终确立了以“智能认知”与“运筹决策”协同为核心的“双核驱动”研究格局。</w:t>
      </w:r>
    </w:p>
    <w:p w14:paraId="34FAA363" w14:textId="390ADF9D" w:rsidR="00064E88" w:rsidRPr="004C748D" w:rsidRDefault="00064E88" w:rsidP="00583AA0">
      <w:pPr>
        <w:jc w:val="both"/>
        <w:rPr>
          <w:rFonts w:ascii="宋体" w:eastAsia="宋体" w:hAnsi="宋体" w:hint="eastAsia"/>
          <w:sz w:val="24"/>
        </w:rPr>
      </w:pPr>
      <w:r>
        <w:rPr>
          <w:noProof/>
        </w:rPr>
        <w:lastRenderedPageBreak/>
        <w:drawing>
          <wp:inline distT="0" distB="0" distL="0" distR="0" wp14:anchorId="5F465BC3" wp14:editId="2A9EF27B">
            <wp:extent cx="5274310" cy="3256280"/>
            <wp:effectExtent l="0" t="0" r="2540" b="1270"/>
            <wp:docPr id="707809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256280"/>
                    </a:xfrm>
                    <a:prstGeom prst="rect">
                      <a:avLst/>
                    </a:prstGeom>
                    <a:noFill/>
                    <a:ln>
                      <a:noFill/>
                    </a:ln>
                  </pic:spPr>
                </pic:pic>
              </a:graphicData>
            </a:graphic>
          </wp:inline>
        </w:drawing>
      </w:r>
    </w:p>
    <w:p w14:paraId="4B57E229" w14:textId="77777777" w:rsidR="00960E37" w:rsidRPr="004C748D" w:rsidRDefault="00960E37" w:rsidP="00583AA0">
      <w:pPr>
        <w:jc w:val="both"/>
        <w:rPr>
          <w:rFonts w:ascii="宋体" w:eastAsia="宋体" w:hAnsi="宋体" w:hint="eastAsia"/>
          <w:sz w:val="24"/>
        </w:rPr>
      </w:pPr>
      <w:r w:rsidRPr="004C748D">
        <w:rPr>
          <w:rFonts w:ascii="宋体" w:eastAsia="宋体" w:hAnsi="宋体" w:hint="eastAsia"/>
          <w:sz w:val="24"/>
        </w:rPr>
        <w:t>图6：核心热点整体联系图</w:t>
      </w:r>
    </w:p>
    <w:p w14:paraId="058C22C7" w14:textId="77777777" w:rsidR="00960E37" w:rsidRPr="004C748D" w:rsidRDefault="00960E37" w:rsidP="00583AA0">
      <w:pPr>
        <w:jc w:val="both"/>
        <w:rPr>
          <w:rFonts w:ascii="宋体" w:eastAsia="宋体" w:hAnsi="宋体" w:hint="eastAsia"/>
          <w:sz w:val="24"/>
        </w:rPr>
      </w:pPr>
      <w:r w:rsidRPr="004C748D">
        <w:rPr>
          <w:rFonts w:ascii="宋体" w:eastAsia="宋体" w:hAnsi="宋体"/>
          <w:noProof/>
          <w:sz w:val="24"/>
        </w:rPr>
        <w:drawing>
          <wp:inline distT="0" distB="0" distL="0" distR="0" wp14:anchorId="135BBF94" wp14:editId="3FA919C1">
            <wp:extent cx="2819400" cy="1740316"/>
            <wp:effectExtent l="0" t="0" r="0" b="0"/>
            <wp:docPr id="14968555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0451" cy="1747138"/>
                    </a:xfrm>
                    <a:prstGeom prst="rect">
                      <a:avLst/>
                    </a:prstGeom>
                    <a:noFill/>
                    <a:ln>
                      <a:noFill/>
                    </a:ln>
                  </pic:spPr>
                </pic:pic>
              </a:graphicData>
            </a:graphic>
          </wp:inline>
        </w:drawing>
      </w:r>
    </w:p>
    <w:p w14:paraId="0E7F4DFC" w14:textId="2786B53A" w:rsidR="00960E37" w:rsidRPr="004C748D" w:rsidRDefault="00960E37" w:rsidP="00583AA0">
      <w:pPr>
        <w:jc w:val="both"/>
        <w:rPr>
          <w:rFonts w:ascii="宋体" w:eastAsia="宋体" w:hAnsi="宋体" w:hint="eastAsia"/>
          <w:sz w:val="24"/>
        </w:rPr>
      </w:pPr>
      <w:r w:rsidRPr="004C748D">
        <w:rPr>
          <w:rFonts w:ascii="宋体" w:eastAsia="宋体" w:hAnsi="宋体" w:hint="eastAsia"/>
          <w:sz w:val="24"/>
        </w:rPr>
        <w:t>图7：核心热点热力分布图</w:t>
      </w:r>
    </w:p>
    <w:p w14:paraId="426E2B89" w14:textId="28A3C4E3" w:rsidR="00960E37" w:rsidRPr="004C748D" w:rsidRDefault="00960E37" w:rsidP="00583AA0">
      <w:pPr>
        <w:jc w:val="both"/>
        <w:rPr>
          <w:rFonts w:ascii="宋体" w:eastAsia="宋体" w:hAnsi="宋体" w:hint="eastAsia"/>
          <w:sz w:val="24"/>
        </w:rPr>
      </w:pPr>
      <w:r w:rsidRPr="004C748D">
        <w:rPr>
          <w:rFonts w:ascii="宋体" w:eastAsia="宋体" w:hAnsi="宋体"/>
          <w:sz w:val="24"/>
        </w:rPr>
        <w:t>3.2.1人工智能技术应用热点</w:t>
      </w:r>
    </w:p>
    <w:p w14:paraId="7BE9895C" w14:textId="4561DE73" w:rsidR="00960E37" w:rsidRPr="004C748D" w:rsidRDefault="00960E37" w:rsidP="00583AA0">
      <w:pPr>
        <w:ind w:firstLine="420"/>
        <w:jc w:val="both"/>
        <w:rPr>
          <w:rFonts w:ascii="宋体" w:eastAsia="宋体" w:hAnsi="宋体" w:hint="eastAsia"/>
          <w:sz w:val="24"/>
        </w:rPr>
      </w:pPr>
      <w:r w:rsidRPr="004C748D">
        <w:rPr>
          <w:rFonts w:ascii="宋体" w:eastAsia="宋体" w:hAnsi="宋体"/>
          <w:sz w:val="24"/>
        </w:rPr>
        <w:t>从图中左侧红色集群可以看出，人工智能相关技术构成了智能油田开发的第一大研究热点。该集群以"artificial intelligence"、"machine learning"、"deep learning"</w:t>
      </w:r>
      <w:r w:rsidRPr="004C748D">
        <w:rPr>
          <w:rFonts w:ascii="宋体" w:eastAsia="宋体" w:hAnsi="宋体" w:hint="eastAsia"/>
          <w:sz w:val="24"/>
        </w:rPr>
        <w:t>技术</w:t>
      </w:r>
      <w:r w:rsidRPr="004C748D">
        <w:rPr>
          <w:rFonts w:ascii="宋体" w:eastAsia="宋体" w:hAnsi="宋体"/>
          <w:sz w:val="24"/>
        </w:rPr>
        <w:t>为核心节点，并与"performance"、"enhanced oil recovery"（</w:t>
      </w:r>
      <w:r w:rsidRPr="004C748D">
        <w:rPr>
          <w:rFonts w:ascii="宋体" w:eastAsia="宋体" w:hAnsi="宋体" w:hint="eastAsia"/>
          <w:sz w:val="24"/>
        </w:rPr>
        <w:t>EOR</w:t>
      </w:r>
      <w:r w:rsidRPr="004C748D">
        <w:rPr>
          <w:rFonts w:ascii="宋体" w:eastAsia="宋体" w:hAnsi="宋体"/>
          <w:sz w:val="24"/>
        </w:rPr>
        <w:t>）应用目标紧密关联。这一热点区域的形成，标志着油田开发已经从传统的物理驱动模式向数据驱动的智能化模式深度转型。</w:t>
      </w:r>
    </w:p>
    <w:p w14:paraId="494792D2" w14:textId="70C3D289" w:rsidR="00960E37" w:rsidRPr="004C748D" w:rsidRDefault="00960E37" w:rsidP="00583AA0">
      <w:pPr>
        <w:ind w:firstLine="420"/>
        <w:jc w:val="both"/>
        <w:rPr>
          <w:rFonts w:ascii="宋体" w:eastAsia="宋体" w:hAnsi="宋体" w:hint="eastAsia"/>
          <w:sz w:val="24"/>
        </w:rPr>
      </w:pPr>
      <w:r w:rsidRPr="004C748D">
        <w:rPr>
          <w:rFonts w:ascii="宋体" w:eastAsia="宋体" w:hAnsi="宋体"/>
          <w:sz w:val="24"/>
        </w:rPr>
        <w:t>机器学习作为该集群的核心技术之一，在智能油田开发中展现出强大的应用潜力。其主要应用场景包括油藏参数预测</w:t>
      </w:r>
      <w:r w:rsidR="00411A15" w:rsidRPr="004C748D">
        <w:rPr>
          <w:rFonts w:ascii="宋体" w:eastAsia="宋体" w:hAnsi="宋体" w:hint="eastAsia"/>
          <w:sz w:val="24"/>
        </w:rPr>
        <w:t>[16]</w:t>
      </w:r>
      <w:r w:rsidRPr="004C748D">
        <w:rPr>
          <w:rFonts w:ascii="宋体" w:eastAsia="宋体" w:hAnsi="宋体"/>
          <w:sz w:val="24"/>
        </w:rPr>
        <w:t>、生产动态分析</w:t>
      </w:r>
      <w:r w:rsidR="00411A15" w:rsidRPr="004C748D">
        <w:rPr>
          <w:rFonts w:ascii="宋体" w:eastAsia="宋体" w:hAnsi="宋体" w:hint="eastAsia"/>
          <w:sz w:val="24"/>
        </w:rPr>
        <w:t>[17]</w:t>
      </w:r>
      <w:r w:rsidRPr="004C748D">
        <w:rPr>
          <w:rFonts w:ascii="宋体" w:eastAsia="宋体" w:hAnsi="宋体"/>
          <w:sz w:val="24"/>
        </w:rPr>
        <w:t>、设备故障诊断</w:t>
      </w:r>
      <w:r w:rsidR="00411A15" w:rsidRPr="004C748D">
        <w:rPr>
          <w:rFonts w:ascii="宋体" w:eastAsia="宋体" w:hAnsi="宋体" w:hint="eastAsia"/>
          <w:sz w:val="24"/>
        </w:rPr>
        <w:t>[18]</w:t>
      </w:r>
      <w:r w:rsidRPr="004C748D">
        <w:rPr>
          <w:rFonts w:ascii="宋体" w:eastAsia="宋体" w:hAnsi="宋体"/>
          <w:sz w:val="24"/>
        </w:rPr>
        <w:t>。与传统数值模拟方法相比，机器学习算法能够从历史生产数据中自动学习复杂的非线性关系，无需建立精确的物理方程，在处理高维、多源异构数据时具有明显优势。</w:t>
      </w:r>
      <w:r w:rsidR="00411A15" w:rsidRPr="004C748D">
        <w:rPr>
          <w:rFonts w:ascii="宋体" w:eastAsia="宋体" w:hAnsi="宋体"/>
          <w:sz w:val="24"/>
        </w:rPr>
        <w:t>在油田开发价值评估中，油藏条件的不确定性是主要驱动因素，</w:t>
      </w:r>
      <w:proofErr w:type="gramStart"/>
      <w:r w:rsidR="00411A15" w:rsidRPr="004C748D">
        <w:rPr>
          <w:rFonts w:ascii="宋体" w:eastAsia="宋体" w:hAnsi="宋体"/>
          <w:sz w:val="24"/>
        </w:rPr>
        <w:lastRenderedPageBreak/>
        <w:t>约贡献</w:t>
      </w:r>
      <w:proofErr w:type="gramEnd"/>
      <w:r w:rsidR="00411A15" w:rsidRPr="004C748D">
        <w:rPr>
          <w:rFonts w:ascii="宋体" w:eastAsia="宋体" w:hAnsi="宋体"/>
          <w:sz w:val="24"/>
        </w:rPr>
        <w:t>了油田价值的80%方差；通过利用机器学习模型（例如分类树、随机森林等）来预测和缩小油藏参数的不确定性，可显著提高油田经济评价的准确度和可靠性</w:t>
      </w:r>
      <w:r w:rsidR="00411A15" w:rsidRPr="004C748D">
        <w:rPr>
          <w:rFonts w:ascii="宋体" w:eastAsia="宋体" w:hAnsi="宋体" w:hint="eastAsia"/>
          <w:sz w:val="24"/>
        </w:rPr>
        <w:t>[19]</w:t>
      </w:r>
      <w:r w:rsidR="00411A15" w:rsidRPr="004C748D">
        <w:rPr>
          <w:rFonts w:ascii="宋体" w:eastAsia="宋体" w:hAnsi="宋体"/>
          <w:sz w:val="24"/>
        </w:rPr>
        <w:t>。</w:t>
      </w:r>
    </w:p>
    <w:p w14:paraId="2F17F943" w14:textId="30309E7A" w:rsidR="00960E37" w:rsidRDefault="00960E37" w:rsidP="00583AA0">
      <w:pPr>
        <w:ind w:firstLine="420"/>
        <w:jc w:val="both"/>
        <w:rPr>
          <w:rFonts w:ascii="Times New Roman" w:eastAsia="宋体" w:hAnsi="Times New Roman" w:cs="Times New Roman"/>
          <w:sz w:val="24"/>
        </w:rPr>
      </w:pPr>
      <w:r w:rsidRPr="004C748D">
        <w:rPr>
          <w:rFonts w:ascii="宋体" w:eastAsia="宋体" w:hAnsi="宋体"/>
          <w:sz w:val="24"/>
        </w:rPr>
        <w:t>深度学习作为机器学习的重要分支，在智能油田开发中展现出更为强大</w:t>
      </w:r>
      <w:r w:rsidR="00411A15" w:rsidRPr="004C748D">
        <w:rPr>
          <w:rFonts w:ascii="宋体" w:eastAsia="宋体" w:hAnsi="宋体" w:hint="eastAsia"/>
          <w:sz w:val="24"/>
        </w:rPr>
        <w:t>出色</w:t>
      </w:r>
      <w:r w:rsidRPr="004C748D">
        <w:rPr>
          <w:rFonts w:ascii="宋体" w:eastAsia="宋体" w:hAnsi="宋体"/>
          <w:sz w:val="24"/>
        </w:rPr>
        <w:t>的能力。卷积神经网络（CNN）、循环神经网络（RNN）、长短期记忆网络（LSTM）等深度学习架构</w:t>
      </w:r>
      <w:r w:rsidR="00A3593B" w:rsidRPr="004C748D">
        <w:rPr>
          <w:rFonts w:ascii="宋体" w:eastAsia="宋体" w:hAnsi="宋体" w:hint="eastAsia"/>
          <w:sz w:val="24"/>
        </w:rPr>
        <w:t>已经广泛</w:t>
      </w:r>
      <w:r w:rsidRPr="004C748D">
        <w:rPr>
          <w:rFonts w:ascii="宋体" w:eastAsia="宋体" w:hAnsi="宋体"/>
          <w:sz w:val="24"/>
        </w:rPr>
        <w:t>被应用于地震资料解释</w:t>
      </w:r>
      <w:r w:rsidR="00A3593B" w:rsidRPr="004C748D">
        <w:rPr>
          <w:rFonts w:ascii="宋体" w:eastAsia="宋体" w:hAnsi="宋体" w:hint="eastAsia"/>
          <w:sz w:val="24"/>
        </w:rPr>
        <w:t>[20]</w:t>
      </w:r>
      <w:r w:rsidRPr="004C748D">
        <w:rPr>
          <w:rFonts w:ascii="宋体" w:eastAsia="宋体" w:hAnsi="宋体"/>
          <w:sz w:val="24"/>
        </w:rPr>
        <w:t>、测井曲线识别</w:t>
      </w:r>
      <w:r w:rsidR="00A3593B" w:rsidRPr="004C748D">
        <w:rPr>
          <w:rFonts w:ascii="宋体" w:eastAsia="宋体" w:hAnsi="宋体" w:hint="eastAsia"/>
          <w:sz w:val="24"/>
        </w:rPr>
        <w:t>[21]</w:t>
      </w:r>
      <w:r w:rsidRPr="004C748D">
        <w:rPr>
          <w:rFonts w:ascii="宋体" w:eastAsia="宋体" w:hAnsi="宋体"/>
          <w:sz w:val="24"/>
        </w:rPr>
        <w:t>、产量时序预测</w:t>
      </w:r>
      <w:r w:rsidR="00A3593B" w:rsidRPr="004C748D">
        <w:rPr>
          <w:rFonts w:ascii="宋体" w:eastAsia="宋体" w:hAnsi="宋体" w:hint="eastAsia"/>
          <w:sz w:val="24"/>
        </w:rPr>
        <w:t>[22]</w:t>
      </w:r>
      <w:r w:rsidRPr="004C748D">
        <w:rPr>
          <w:rFonts w:ascii="宋体" w:eastAsia="宋体" w:hAnsi="宋体"/>
          <w:sz w:val="24"/>
        </w:rPr>
        <w:t>等复杂任务。相比传统机器学习方法，深度学习能够自动提取数据的深层特征，无需人工进行特征工程，在处理图像、序列等非结构化数据时表现尤为出色。</w:t>
      </w:r>
      <w:r w:rsidR="002241A6" w:rsidRPr="00F76EA1">
        <w:rPr>
          <w:rFonts w:ascii="Times New Roman" w:eastAsia="宋体" w:hAnsi="Times New Roman" w:cs="Times New Roman"/>
          <w:sz w:val="24"/>
        </w:rPr>
        <w:t>如在</w:t>
      </w:r>
      <w:proofErr w:type="spellStart"/>
      <w:r w:rsidR="002241A6" w:rsidRPr="00F76EA1">
        <w:rPr>
          <w:rFonts w:ascii="Times New Roman" w:eastAsia="宋体" w:hAnsi="Times New Roman" w:cs="Times New Roman"/>
          <w:sz w:val="24"/>
        </w:rPr>
        <w:t>PSO</w:t>
      </w:r>
      <w:proofErr w:type="spellEnd"/>
      <w:r w:rsidR="002241A6" w:rsidRPr="00F76EA1">
        <w:rPr>
          <w:rFonts w:ascii="Times New Roman" w:eastAsia="宋体" w:hAnsi="Times New Roman" w:cs="Times New Roman"/>
          <w:sz w:val="24"/>
        </w:rPr>
        <w:t xml:space="preserve">-CNN-LSTM </w:t>
      </w:r>
      <w:r w:rsidR="002241A6" w:rsidRPr="00F76EA1">
        <w:rPr>
          <w:rFonts w:ascii="Times New Roman" w:eastAsia="宋体" w:hAnsi="Times New Roman" w:cs="Times New Roman"/>
          <w:sz w:val="24"/>
        </w:rPr>
        <w:t>混合神经网络模型中，研究使用了来自堪萨斯州某气藏</w:t>
      </w:r>
      <w:r w:rsidR="002241A6" w:rsidRPr="00F76EA1">
        <w:rPr>
          <w:rFonts w:ascii="Times New Roman" w:eastAsia="宋体" w:hAnsi="Times New Roman" w:cs="Times New Roman"/>
          <w:sz w:val="24"/>
        </w:rPr>
        <w:t>8</w:t>
      </w:r>
      <w:r w:rsidR="002241A6" w:rsidRPr="00F76EA1">
        <w:rPr>
          <w:rFonts w:ascii="Times New Roman" w:eastAsia="宋体" w:hAnsi="Times New Roman" w:cs="Times New Roman"/>
          <w:sz w:val="24"/>
        </w:rPr>
        <w:t>口油井的测井数据，经预处理后共计</w:t>
      </w:r>
      <w:r w:rsidR="002241A6" w:rsidRPr="00F76EA1">
        <w:rPr>
          <w:rFonts w:ascii="Times New Roman" w:eastAsia="宋体" w:hAnsi="Times New Roman" w:cs="Times New Roman"/>
          <w:sz w:val="24"/>
        </w:rPr>
        <w:t>3232</w:t>
      </w:r>
      <w:r w:rsidR="002241A6" w:rsidRPr="00F76EA1">
        <w:rPr>
          <w:rFonts w:ascii="Times New Roman" w:eastAsia="宋体" w:hAnsi="Times New Roman" w:cs="Times New Roman"/>
          <w:sz w:val="24"/>
        </w:rPr>
        <w:t>个样本，并重</w:t>
      </w:r>
      <w:proofErr w:type="gramStart"/>
      <w:r w:rsidR="002241A6" w:rsidRPr="00F76EA1">
        <w:rPr>
          <w:rFonts w:ascii="Times New Roman" w:eastAsia="宋体" w:hAnsi="Times New Roman" w:cs="Times New Roman"/>
          <w:sz w:val="24"/>
        </w:rPr>
        <w:t>点针对</w:t>
      </w:r>
      <w:proofErr w:type="gramEnd"/>
      <w:r w:rsidR="002241A6" w:rsidRPr="00F76EA1">
        <w:rPr>
          <w:rFonts w:ascii="Times New Roman" w:eastAsia="宋体" w:hAnsi="Times New Roman" w:cs="Times New Roman"/>
          <w:sz w:val="24"/>
        </w:rPr>
        <w:t>Well 1</w:t>
      </w:r>
      <w:r w:rsidR="002241A6" w:rsidRPr="00F76EA1">
        <w:rPr>
          <w:rFonts w:ascii="Times New Roman" w:eastAsia="宋体" w:hAnsi="Times New Roman" w:cs="Times New Roman"/>
          <w:sz w:val="24"/>
        </w:rPr>
        <w:t>井深度在</w:t>
      </w:r>
      <w:r w:rsidR="002241A6" w:rsidRPr="00F76EA1">
        <w:rPr>
          <w:rFonts w:ascii="Times New Roman" w:eastAsia="宋体" w:hAnsi="Times New Roman" w:cs="Times New Roman"/>
          <w:sz w:val="24"/>
        </w:rPr>
        <w:t>2573.5</w:t>
      </w:r>
      <w:r w:rsidR="002241A6" w:rsidRPr="00F76EA1">
        <w:rPr>
          <w:rFonts w:ascii="Times New Roman" w:eastAsia="宋体" w:hAnsi="Times New Roman" w:cs="Times New Roman"/>
          <w:sz w:val="24"/>
        </w:rPr>
        <w:t>至</w:t>
      </w:r>
      <w:r w:rsidR="002241A6" w:rsidRPr="00F76EA1">
        <w:rPr>
          <w:rFonts w:ascii="Times New Roman" w:eastAsia="宋体" w:hAnsi="Times New Roman" w:cs="Times New Roman"/>
          <w:sz w:val="24"/>
        </w:rPr>
        <w:t>2841.5</w:t>
      </w:r>
      <w:r w:rsidR="002241A6" w:rsidRPr="00F76EA1">
        <w:rPr>
          <w:rFonts w:ascii="Times New Roman" w:eastAsia="宋体" w:hAnsi="Times New Roman" w:cs="Times New Roman"/>
          <w:sz w:val="24"/>
        </w:rPr>
        <w:t>米间的</w:t>
      </w:r>
      <w:r w:rsidR="002241A6" w:rsidRPr="00F76EA1">
        <w:rPr>
          <w:rFonts w:ascii="Times New Roman" w:eastAsia="宋体" w:hAnsi="Times New Roman" w:cs="Times New Roman"/>
          <w:sz w:val="24"/>
        </w:rPr>
        <w:t>501</w:t>
      </w:r>
      <w:r w:rsidR="002241A6" w:rsidRPr="00F76EA1">
        <w:rPr>
          <w:rFonts w:ascii="Times New Roman" w:eastAsia="宋体" w:hAnsi="Times New Roman" w:cs="Times New Roman"/>
          <w:sz w:val="24"/>
        </w:rPr>
        <w:t>组数据进行远</w:t>
      </w:r>
      <w:proofErr w:type="gramStart"/>
      <w:r w:rsidR="002241A6" w:rsidRPr="00F76EA1">
        <w:rPr>
          <w:rFonts w:ascii="Times New Roman" w:eastAsia="宋体" w:hAnsi="Times New Roman" w:cs="Times New Roman"/>
          <w:sz w:val="24"/>
        </w:rPr>
        <w:t>超人工速度</w:t>
      </w:r>
      <w:proofErr w:type="gramEnd"/>
      <w:r w:rsidR="002241A6" w:rsidRPr="00F76EA1">
        <w:rPr>
          <w:rFonts w:ascii="Times New Roman" w:eastAsia="宋体" w:hAnsi="Times New Roman" w:cs="Times New Roman"/>
          <w:sz w:val="24"/>
        </w:rPr>
        <w:t>的单井预测分析</w:t>
      </w:r>
      <w:r w:rsidR="002241A6">
        <w:rPr>
          <w:rFonts w:ascii="Times New Roman" w:eastAsia="宋体" w:hAnsi="Times New Roman" w:cs="Times New Roman" w:hint="eastAsia"/>
          <w:sz w:val="24"/>
        </w:rPr>
        <w:t>[index]</w:t>
      </w:r>
      <w:r w:rsidR="002241A6" w:rsidRPr="00F76EA1">
        <w:rPr>
          <w:rFonts w:ascii="Times New Roman" w:eastAsia="宋体" w:hAnsi="Times New Roman" w:cs="Times New Roman"/>
          <w:sz w:val="24"/>
        </w:rPr>
        <w:t>。</w:t>
      </w:r>
    </w:p>
    <w:p w14:paraId="45229A33" w14:textId="226B6BEA" w:rsidR="00A064F4" w:rsidRPr="004C748D" w:rsidRDefault="00A064F4" w:rsidP="00583AA0">
      <w:pPr>
        <w:ind w:firstLine="420"/>
        <w:jc w:val="both"/>
        <w:rPr>
          <w:rFonts w:ascii="宋体" w:eastAsia="宋体" w:hAnsi="宋体" w:hint="eastAsia"/>
          <w:sz w:val="24"/>
        </w:rPr>
      </w:pPr>
      <w:r w:rsidRPr="003E41B9">
        <w:rPr>
          <w:rFonts w:ascii="Times New Roman" w:eastAsia="宋体" w:hAnsi="Times New Roman" w:cs="Times New Roman"/>
          <w:sz w:val="24"/>
        </w:rPr>
        <w:t>过去</w:t>
      </w:r>
      <w:r>
        <w:rPr>
          <w:rFonts w:ascii="Times New Roman" w:eastAsia="宋体" w:hAnsi="Times New Roman" w:cs="Times New Roman" w:hint="eastAsia"/>
          <w:sz w:val="24"/>
        </w:rPr>
        <w:t>，</w:t>
      </w:r>
      <w:r w:rsidRPr="003E41B9">
        <w:rPr>
          <w:rFonts w:ascii="Times New Roman" w:eastAsia="宋体" w:hAnsi="Times New Roman" w:cs="Times New Roman"/>
          <w:sz w:val="24"/>
        </w:rPr>
        <w:t>AI</w:t>
      </w:r>
      <w:r w:rsidRPr="003E41B9">
        <w:rPr>
          <w:rFonts w:ascii="Times New Roman" w:eastAsia="宋体" w:hAnsi="Times New Roman" w:cs="Times New Roman"/>
          <w:sz w:val="24"/>
        </w:rPr>
        <w:t>和神经网络的研究</w:t>
      </w:r>
      <w:r>
        <w:rPr>
          <w:rFonts w:ascii="Times New Roman" w:eastAsia="宋体" w:hAnsi="Times New Roman" w:cs="Times New Roman" w:hint="eastAsia"/>
          <w:sz w:val="24"/>
        </w:rPr>
        <w:t>往往</w:t>
      </w:r>
      <w:r w:rsidRPr="003E41B9">
        <w:rPr>
          <w:rFonts w:ascii="Times New Roman" w:eastAsia="宋体" w:hAnsi="Times New Roman" w:cs="Times New Roman"/>
          <w:sz w:val="24"/>
        </w:rPr>
        <w:t>出现矛盾结果，是因为传统的神经网络是纯</w:t>
      </w:r>
      <w:r w:rsidRPr="003E41B9">
        <w:rPr>
          <w:rFonts w:ascii="Times New Roman" w:eastAsia="宋体" w:hAnsi="Times New Roman" w:cs="Times New Roman"/>
          <w:sz w:val="24"/>
        </w:rPr>
        <w:t>“</w:t>
      </w:r>
      <w:r w:rsidRPr="003E41B9">
        <w:rPr>
          <w:rFonts w:ascii="Times New Roman" w:eastAsia="宋体" w:hAnsi="Times New Roman" w:cs="Times New Roman"/>
          <w:sz w:val="24"/>
        </w:rPr>
        <w:t>黑盒</w:t>
      </w:r>
      <w:r w:rsidRPr="003E41B9">
        <w:rPr>
          <w:rFonts w:ascii="Times New Roman" w:eastAsia="宋体" w:hAnsi="Times New Roman" w:cs="Times New Roman"/>
          <w:sz w:val="24"/>
        </w:rPr>
        <w:t>”</w:t>
      </w:r>
      <w:r w:rsidRPr="003E41B9">
        <w:rPr>
          <w:rFonts w:ascii="Times New Roman" w:eastAsia="宋体" w:hAnsi="Times New Roman" w:cs="Times New Roman"/>
          <w:sz w:val="24"/>
        </w:rPr>
        <w:t>模型，缺乏物理约束。在石油开采这种复杂的地下环境中，纯数据驱动模型容易捕获到伪相关性，导致泛化能力差。本文提出的</w:t>
      </w:r>
      <w:r w:rsidRPr="003E41B9">
        <w:rPr>
          <w:rFonts w:ascii="Times New Roman" w:eastAsia="宋体" w:hAnsi="Times New Roman" w:cs="Times New Roman"/>
          <w:sz w:val="24"/>
        </w:rPr>
        <w:t>“</w:t>
      </w:r>
      <w:r w:rsidRPr="003E41B9">
        <w:rPr>
          <w:rFonts w:ascii="Times New Roman" w:eastAsia="宋体" w:hAnsi="Times New Roman" w:cs="Times New Roman"/>
          <w:sz w:val="24"/>
        </w:rPr>
        <w:t>双核驱动机制</w:t>
      </w:r>
      <w:r w:rsidRPr="003E41B9">
        <w:rPr>
          <w:rFonts w:ascii="Times New Roman" w:eastAsia="宋体" w:hAnsi="Times New Roman" w:cs="Times New Roman"/>
          <w:sz w:val="24"/>
        </w:rPr>
        <w:t>”</w:t>
      </w:r>
      <w:r w:rsidRPr="003E41B9">
        <w:rPr>
          <w:rFonts w:ascii="Times New Roman" w:eastAsia="宋体" w:hAnsi="Times New Roman" w:cs="Times New Roman"/>
          <w:sz w:val="24"/>
        </w:rPr>
        <w:t>正是为了应对这一争议。我们不仅依赖</w:t>
      </w:r>
      <w:r w:rsidRPr="003E41B9">
        <w:rPr>
          <w:rFonts w:ascii="Times New Roman" w:eastAsia="宋体" w:hAnsi="Times New Roman" w:cs="Times New Roman"/>
          <w:sz w:val="24"/>
        </w:rPr>
        <w:t>AI</w:t>
      </w:r>
      <w:r w:rsidRPr="003E41B9">
        <w:rPr>
          <w:rFonts w:ascii="Times New Roman" w:eastAsia="宋体" w:hAnsi="Times New Roman" w:cs="Times New Roman"/>
          <w:sz w:val="24"/>
        </w:rPr>
        <w:t>的预测能力（感知核），还引入了运筹优化和决策系统（优化核）。通过将</w:t>
      </w:r>
      <w:r w:rsidRPr="003E41B9">
        <w:rPr>
          <w:rFonts w:ascii="Times New Roman" w:eastAsia="宋体" w:hAnsi="Times New Roman" w:cs="Times New Roman"/>
          <w:sz w:val="24"/>
        </w:rPr>
        <w:t>AI</w:t>
      </w:r>
      <w:r w:rsidRPr="003E41B9">
        <w:rPr>
          <w:rFonts w:ascii="Times New Roman" w:eastAsia="宋体" w:hAnsi="Times New Roman" w:cs="Times New Roman"/>
          <w:sz w:val="24"/>
        </w:rPr>
        <w:t>预测结果纳入闭环优化体系，我们可以有效过滤</w:t>
      </w:r>
      <w:proofErr w:type="gramStart"/>
      <w:r w:rsidRPr="003E41B9">
        <w:rPr>
          <w:rFonts w:ascii="Times New Roman" w:eastAsia="宋体" w:hAnsi="Times New Roman" w:cs="Times New Roman"/>
          <w:sz w:val="24"/>
        </w:rPr>
        <w:t>掉由于</w:t>
      </w:r>
      <w:proofErr w:type="gramEnd"/>
      <w:r w:rsidRPr="003E41B9">
        <w:rPr>
          <w:rFonts w:ascii="Times New Roman" w:eastAsia="宋体" w:hAnsi="Times New Roman" w:cs="Times New Roman"/>
          <w:sz w:val="24"/>
        </w:rPr>
        <w:t>神经网络不稳定性产生的异常结果，从而提高系统的整体可靠性。</w:t>
      </w:r>
    </w:p>
    <w:p w14:paraId="4854D461" w14:textId="3B3ADC4F" w:rsidR="00960E37" w:rsidRPr="004C748D" w:rsidRDefault="00960E37" w:rsidP="00583AA0">
      <w:pPr>
        <w:ind w:firstLine="420"/>
        <w:jc w:val="both"/>
        <w:rPr>
          <w:rFonts w:ascii="宋体" w:eastAsia="宋体" w:hAnsi="宋体" w:hint="eastAsia"/>
          <w:sz w:val="24"/>
        </w:rPr>
      </w:pPr>
      <w:r w:rsidRPr="004C748D">
        <w:rPr>
          <w:rFonts w:ascii="宋体" w:eastAsia="宋体" w:hAnsi="宋体"/>
          <w:sz w:val="24"/>
        </w:rPr>
        <w:t>从共被引网络可以看出，"enhanced oil recovery"与人工智能技术群组联系紧密，反映了AI在EOR领域的广泛应用。传统的提高采收率方法依赖于大量的物理实验和数值模拟，周期长、成本高。而人工智能技术的引入，为EOR方案的快速评估和优选提供了新的途径。通过机器学习算法，可以快速评估不同驱替方式（如化学驱、气驱、热采等）在特定油藏条件下的适用性和预期效果</w:t>
      </w:r>
      <w:r w:rsidR="00700565" w:rsidRPr="004C748D">
        <w:rPr>
          <w:rFonts w:ascii="宋体" w:eastAsia="宋体" w:hAnsi="宋体" w:hint="eastAsia"/>
          <w:sz w:val="24"/>
        </w:rPr>
        <w:t>[23]</w:t>
      </w:r>
      <w:r w:rsidRPr="004C748D">
        <w:rPr>
          <w:rFonts w:ascii="宋体" w:eastAsia="宋体" w:hAnsi="宋体"/>
          <w:sz w:val="24"/>
        </w:rPr>
        <w:t>。此外，深度强化学习技术被应用于注采井网优化、驱替剂用量优化等决策问题，通过与油藏模拟器的交互学习，自动探索最优的EOR操作策略</w:t>
      </w:r>
      <w:r w:rsidR="00700565" w:rsidRPr="004C748D">
        <w:rPr>
          <w:rFonts w:ascii="宋体" w:eastAsia="宋体" w:hAnsi="宋体" w:hint="eastAsia"/>
          <w:sz w:val="24"/>
        </w:rPr>
        <w:t>[24]</w:t>
      </w:r>
      <w:r w:rsidRPr="004C748D">
        <w:rPr>
          <w:rFonts w:ascii="宋体" w:eastAsia="宋体" w:hAnsi="宋体"/>
          <w:sz w:val="24"/>
        </w:rPr>
        <w:t>。</w:t>
      </w:r>
    </w:p>
    <w:p w14:paraId="1D75EF5C" w14:textId="26B83BF8" w:rsidR="00960E37" w:rsidRDefault="00960E37" w:rsidP="00583AA0">
      <w:pPr>
        <w:ind w:firstLine="420"/>
        <w:jc w:val="both"/>
        <w:rPr>
          <w:rFonts w:ascii="宋体" w:eastAsia="宋体" w:hAnsi="宋体" w:hint="eastAsia"/>
          <w:sz w:val="24"/>
        </w:rPr>
      </w:pPr>
      <w:r w:rsidRPr="004C748D">
        <w:rPr>
          <w:rFonts w:ascii="宋体" w:eastAsia="宋体" w:hAnsi="宋体"/>
          <w:sz w:val="24"/>
        </w:rPr>
        <w:t>在油田这样的高风险、高投资行业，任何决策失误都可能造成巨大的经济损失，因此AI模型的可靠性、鲁棒性和</w:t>
      </w:r>
      <w:proofErr w:type="gramStart"/>
      <w:r w:rsidRPr="004C748D">
        <w:rPr>
          <w:rFonts w:ascii="宋体" w:eastAsia="宋体" w:hAnsi="宋体"/>
          <w:sz w:val="24"/>
        </w:rPr>
        <w:t>可</w:t>
      </w:r>
      <w:proofErr w:type="gramEnd"/>
      <w:r w:rsidRPr="004C748D">
        <w:rPr>
          <w:rFonts w:ascii="宋体" w:eastAsia="宋体" w:hAnsi="宋体"/>
          <w:sz w:val="24"/>
        </w:rPr>
        <w:t>解释性至关重要</w:t>
      </w:r>
      <w:r w:rsidR="00700565" w:rsidRPr="004C748D">
        <w:rPr>
          <w:rFonts w:ascii="宋体" w:eastAsia="宋体" w:hAnsi="宋体" w:hint="eastAsia"/>
          <w:sz w:val="24"/>
        </w:rPr>
        <w:t>，即</w:t>
      </w:r>
      <w:r w:rsidR="00700565" w:rsidRPr="004C748D">
        <w:rPr>
          <w:rFonts w:ascii="宋体" w:eastAsia="宋体" w:hAnsi="宋体"/>
          <w:sz w:val="24"/>
        </w:rPr>
        <w:t>"Performance"</w:t>
      </w:r>
      <w:r w:rsidRPr="004C748D">
        <w:rPr>
          <w:rFonts w:ascii="宋体" w:eastAsia="宋体" w:hAnsi="宋体"/>
          <w:sz w:val="24"/>
        </w:rPr>
        <w:t>。当前研究不仅关注模型的预测精度，还重视模型在不同油藏条件下的泛化能力、对异常数据的处理能力以及决策过程的可解释性。为提高AI模型的可靠性，研究者采用了多种技术手段：一是通过集成学习、迁移学习等方法提高模型的泛化能力</w:t>
      </w:r>
      <w:r w:rsidR="00AD5C88" w:rsidRPr="004C748D">
        <w:rPr>
          <w:rFonts w:ascii="宋体" w:eastAsia="宋体" w:hAnsi="宋体" w:hint="eastAsia"/>
          <w:sz w:val="24"/>
        </w:rPr>
        <w:t>[25]</w:t>
      </w:r>
      <w:r w:rsidRPr="004C748D">
        <w:rPr>
          <w:rFonts w:ascii="宋体" w:eastAsia="宋体" w:hAnsi="宋体"/>
          <w:sz w:val="24"/>
        </w:rPr>
        <w:t>；二是引入不确定性量化技术，为预测结果提供置信区间</w:t>
      </w:r>
      <w:r w:rsidR="00AD5C88" w:rsidRPr="004C748D">
        <w:rPr>
          <w:rFonts w:ascii="宋体" w:eastAsia="宋体" w:hAnsi="宋体" w:hint="eastAsia"/>
          <w:sz w:val="24"/>
        </w:rPr>
        <w:t>[26]</w:t>
      </w:r>
      <w:r w:rsidRPr="004C748D">
        <w:rPr>
          <w:rFonts w:ascii="宋体" w:eastAsia="宋体" w:hAnsi="宋体"/>
          <w:sz w:val="24"/>
        </w:rPr>
        <w:t>；三是采用可解释AI技术，如</w:t>
      </w:r>
      <w:proofErr w:type="spellStart"/>
      <w:r w:rsidRPr="004C748D">
        <w:rPr>
          <w:rFonts w:ascii="宋体" w:eastAsia="宋体" w:hAnsi="宋体"/>
          <w:sz w:val="24"/>
        </w:rPr>
        <w:t>SHAP</w:t>
      </w:r>
      <w:proofErr w:type="spellEnd"/>
      <w:r w:rsidRPr="004C748D">
        <w:rPr>
          <w:rFonts w:ascii="宋体" w:eastAsia="宋体" w:hAnsi="宋体"/>
          <w:sz w:val="24"/>
        </w:rPr>
        <w:t>值分析、注意力机制可视化等，帮助工程师理解模型的决策逻辑</w:t>
      </w:r>
      <w:r w:rsidR="00AD5C88" w:rsidRPr="004C748D">
        <w:rPr>
          <w:rFonts w:ascii="宋体" w:eastAsia="宋体" w:hAnsi="宋体" w:hint="eastAsia"/>
          <w:sz w:val="24"/>
        </w:rPr>
        <w:t>[27]</w:t>
      </w:r>
      <w:r w:rsidRPr="004C748D">
        <w:rPr>
          <w:rFonts w:ascii="宋体" w:eastAsia="宋体" w:hAnsi="宋体"/>
          <w:sz w:val="24"/>
        </w:rPr>
        <w:t>。</w:t>
      </w:r>
      <w:r w:rsidR="00656509">
        <w:rPr>
          <w:rFonts w:ascii="宋体" w:eastAsia="宋体" w:hAnsi="宋体" w:hint="eastAsia"/>
          <w:sz w:val="24"/>
        </w:rPr>
        <w:t>更多关于</w:t>
      </w:r>
      <w:r w:rsidR="00656509" w:rsidRPr="00661BF5">
        <w:rPr>
          <w:rFonts w:ascii="Times New Roman" w:eastAsia="宋体" w:hAnsi="Times New Roman" w:cs="Times New Roman"/>
          <w:sz w:val="24"/>
        </w:rPr>
        <w:t>人工智能技术在油田开发中应用的案例</w:t>
      </w:r>
      <w:r w:rsidR="00656509">
        <w:rPr>
          <w:rFonts w:ascii="Times New Roman" w:eastAsia="宋体" w:hAnsi="Times New Roman" w:cs="Times New Roman" w:hint="eastAsia"/>
          <w:sz w:val="24"/>
        </w:rPr>
        <w:t>如表</w:t>
      </w:r>
      <w:r w:rsidR="00656509">
        <w:rPr>
          <w:rFonts w:ascii="Times New Roman" w:eastAsia="宋体" w:hAnsi="Times New Roman" w:cs="Times New Roman" w:hint="eastAsia"/>
          <w:sz w:val="24"/>
        </w:rPr>
        <w:t>3</w:t>
      </w:r>
      <w:r w:rsidR="00656509">
        <w:rPr>
          <w:rFonts w:ascii="Times New Roman" w:eastAsia="宋体" w:hAnsi="Times New Roman" w:cs="Times New Roman" w:hint="eastAsia"/>
          <w:sz w:val="24"/>
        </w:rPr>
        <w:t>所示。</w:t>
      </w:r>
    </w:p>
    <w:p w14:paraId="6FF6488D" w14:textId="21169615" w:rsidR="00656509" w:rsidRPr="00656509" w:rsidRDefault="00A12E40" w:rsidP="00656509">
      <w:pPr>
        <w:jc w:val="center"/>
        <w:rPr>
          <w:rFonts w:ascii="Times New Roman" w:eastAsia="宋体" w:hAnsi="Times New Roman" w:cs="Times New Roman" w:hint="eastAsia"/>
          <w:sz w:val="24"/>
        </w:rPr>
      </w:pPr>
      <w:r>
        <w:rPr>
          <w:rFonts w:ascii="宋体" w:eastAsia="宋体" w:hAnsi="宋体" w:hint="eastAsia"/>
          <w:sz w:val="24"/>
        </w:rPr>
        <w:t>表</w:t>
      </w:r>
      <w:r w:rsidR="00656509">
        <w:rPr>
          <w:rFonts w:ascii="宋体" w:eastAsia="宋体" w:hAnsi="宋体" w:hint="eastAsia"/>
          <w:sz w:val="24"/>
        </w:rPr>
        <w:t>3：</w:t>
      </w:r>
      <w:r w:rsidR="00656509" w:rsidRPr="00661BF5">
        <w:rPr>
          <w:rFonts w:ascii="Times New Roman" w:eastAsia="宋体" w:hAnsi="Times New Roman" w:cs="Times New Roman"/>
          <w:sz w:val="24"/>
        </w:rPr>
        <w:t>人工智能技术在油田开发中应用的案例</w:t>
      </w:r>
    </w:p>
    <w:tbl>
      <w:tblPr>
        <w:tblW w:w="0" w:type="auto"/>
        <w:jc w:val="center"/>
        <w:tblLook w:val="04A0" w:firstRow="1" w:lastRow="0" w:firstColumn="1" w:lastColumn="0" w:noHBand="0" w:noVBand="1"/>
      </w:tblPr>
      <w:tblGrid>
        <w:gridCol w:w="460"/>
        <w:gridCol w:w="881"/>
        <w:gridCol w:w="2171"/>
        <w:gridCol w:w="4774"/>
      </w:tblGrid>
      <w:tr w:rsidR="00A12E40" w:rsidRPr="00A12E40" w14:paraId="45BA9AFA" w14:textId="77777777" w:rsidTr="00A12E40">
        <w:trPr>
          <w:jc w:val="center"/>
        </w:trPr>
        <w:tc>
          <w:tcPr>
            <w:tcW w:w="0" w:type="auto"/>
            <w:tcBorders>
              <w:top w:val="single" w:sz="8" w:space="0" w:color="auto"/>
              <w:left w:val="single" w:sz="8" w:space="0" w:color="auto"/>
              <w:bottom w:val="single" w:sz="8" w:space="0" w:color="auto"/>
              <w:right w:val="single" w:sz="8" w:space="0" w:color="auto"/>
            </w:tcBorders>
            <w:vAlign w:val="center"/>
            <w:hideMark/>
          </w:tcPr>
          <w:p w14:paraId="39EC4BB8" w14:textId="77777777" w:rsidR="00A12E40" w:rsidRPr="00A12E40" w:rsidRDefault="00A12E40" w:rsidP="00A12E40">
            <w:pPr>
              <w:widowControl/>
              <w:spacing w:after="0" w:line="240" w:lineRule="auto"/>
              <w:jc w:val="center"/>
              <w:rPr>
                <w:rFonts w:ascii="宋体" w:eastAsia="宋体" w:hAnsi="宋体" w:cs="宋体"/>
                <w:color w:val="000000"/>
                <w:kern w:val="0"/>
                <w:sz w:val="24"/>
                <w14:ligatures w14:val="none"/>
              </w:rPr>
            </w:pPr>
            <w:r w:rsidRPr="00A12E40">
              <w:rPr>
                <w:rFonts w:ascii="宋体" w:eastAsia="宋体" w:hAnsi="宋体" w:cs="宋体" w:hint="eastAsia"/>
                <w:color w:val="000000"/>
                <w:kern w:val="0"/>
                <w:sz w:val="24"/>
                <w14:ligatures w14:val="none"/>
              </w:rPr>
              <w:t>流程</w:t>
            </w:r>
          </w:p>
        </w:tc>
        <w:tc>
          <w:tcPr>
            <w:tcW w:w="0" w:type="auto"/>
            <w:tcBorders>
              <w:top w:val="single" w:sz="8" w:space="0" w:color="auto"/>
              <w:left w:val="nil"/>
              <w:bottom w:val="single" w:sz="8" w:space="0" w:color="auto"/>
              <w:right w:val="single" w:sz="8" w:space="0" w:color="auto"/>
            </w:tcBorders>
            <w:vAlign w:val="center"/>
            <w:hideMark/>
          </w:tcPr>
          <w:p w14:paraId="3921AA8F" w14:textId="77777777" w:rsidR="00A12E40" w:rsidRPr="00A12E40" w:rsidRDefault="00A12E40" w:rsidP="00A12E40">
            <w:pPr>
              <w:widowControl/>
              <w:spacing w:after="0" w:line="240" w:lineRule="auto"/>
              <w:jc w:val="center"/>
              <w:rPr>
                <w:rFonts w:ascii="Times New Roman" w:eastAsia="等线" w:hAnsi="Times New Roman" w:cs="Times New Roman" w:hint="eastAsia"/>
                <w:color w:val="000000"/>
                <w:kern w:val="0"/>
                <w:sz w:val="24"/>
                <w14:ligatures w14:val="none"/>
              </w:rPr>
            </w:pPr>
            <w:r w:rsidRPr="00A12E40">
              <w:rPr>
                <w:rFonts w:ascii="Times New Roman" w:eastAsia="等线" w:hAnsi="Times New Roman" w:cs="Times New Roman"/>
                <w:color w:val="000000"/>
                <w:kern w:val="0"/>
                <w:sz w:val="24"/>
                <w14:ligatures w14:val="none"/>
              </w:rPr>
              <w:t>AI</w:t>
            </w:r>
            <w:r w:rsidRPr="00A12E40">
              <w:rPr>
                <w:rFonts w:ascii="宋体" w:eastAsia="宋体" w:hAnsi="宋体" w:cs="Times New Roman" w:hint="eastAsia"/>
                <w:color w:val="000000"/>
                <w:kern w:val="0"/>
                <w:sz w:val="24"/>
                <w14:ligatures w14:val="none"/>
              </w:rPr>
              <w:t>技术</w:t>
            </w:r>
          </w:p>
        </w:tc>
        <w:tc>
          <w:tcPr>
            <w:tcW w:w="0" w:type="auto"/>
            <w:tcBorders>
              <w:top w:val="single" w:sz="8" w:space="0" w:color="auto"/>
              <w:left w:val="nil"/>
              <w:bottom w:val="single" w:sz="8" w:space="0" w:color="auto"/>
              <w:right w:val="single" w:sz="8" w:space="0" w:color="auto"/>
            </w:tcBorders>
            <w:vAlign w:val="center"/>
            <w:hideMark/>
          </w:tcPr>
          <w:p w14:paraId="5B990C2F" w14:textId="77777777" w:rsidR="00A12E40" w:rsidRPr="00A12E40" w:rsidRDefault="00A12E40" w:rsidP="00A12E40">
            <w:pPr>
              <w:widowControl/>
              <w:spacing w:after="0" w:line="240" w:lineRule="auto"/>
              <w:jc w:val="center"/>
              <w:rPr>
                <w:rFonts w:ascii="宋体" w:eastAsia="宋体" w:hAnsi="宋体" w:cs="宋体"/>
                <w:color w:val="000000"/>
                <w:kern w:val="0"/>
                <w:sz w:val="24"/>
                <w14:ligatures w14:val="none"/>
              </w:rPr>
            </w:pPr>
            <w:r w:rsidRPr="00A12E40">
              <w:rPr>
                <w:rFonts w:ascii="宋体" w:eastAsia="宋体" w:hAnsi="宋体" w:cs="宋体" w:hint="eastAsia"/>
                <w:color w:val="000000"/>
                <w:kern w:val="0"/>
                <w:sz w:val="24"/>
                <w14:ligatures w14:val="none"/>
              </w:rPr>
              <w:t>具体应用</w:t>
            </w:r>
          </w:p>
        </w:tc>
        <w:tc>
          <w:tcPr>
            <w:tcW w:w="0" w:type="auto"/>
            <w:tcBorders>
              <w:top w:val="single" w:sz="8" w:space="0" w:color="auto"/>
              <w:left w:val="nil"/>
              <w:bottom w:val="single" w:sz="8" w:space="0" w:color="auto"/>
              <w:right w:val="single" w:sz="8" w:space="0" w:color="auto"/>
            </w:tcBorders>
            <w:vAlign w:val="center"/>
            <w:hideMark/>
          </w:tcPr>
          <w:p w14:paraId="197557EB" w14:textId="77777777" w:rsidR="00A12E40" w:rsidRPr="00A12E40" w:rsidRDefault="00A12E40" w:rsidP="00A12E40">
            <w:pPr>
              <w:widowControl/>
              <w:spacing w:after="0" w:line="240" w:lineRule="auto"/>
              <w:jc w:val="center"/>
              <w:rPr>
                <w:rFonts w:ascii="宋体" w:eastAsia="宋体" w:hAnsi="宋体" w:cs="宋体" w:hint="eastAsia"/>
                <w:color w:val="000000"/>
                <w:kern w:val="0"/>
                <w:sz w:val="24"/>
                <w14:ligatures w14:val="none"/>
              </w:rPr>
            </w:pPr>
            <w:r w:rsidRPr="00A12E40">
              <w:rPr>
                <w:rFonts w:ascii="宋体" w:eastAsia="宋体" w:hAnsi="宋体" w:cs="宋体" w:hint="eastAsia"/>
                <w:color w:val="000000"/>
                <w:kern w:val="0"/>
                <w:sz w:val="24"/>
                <w14:ligatures w14:val="none"/>
              </w:rPr>
              <w:t>参考</w:t>
            </w:r>
          </w:p>
        </w:tc>
      </w:tr>
      <w:tr w:rsidR="00A12E40" w:rsidRPr="00A12E40" w14:paraId="3878EE84" w14:textId="77777777" w:rsidTr="00A12E40">
        <w:trPr>
          <w:jc w:val="center"/>
        </w:trPr>
        <w:tc>
          <w:tcPr>
            <w:tcW w:w="0" w:type="auto"/>
            <w:tcBorders>
              <w:top w:val="nil"/>
              <w:left w:val="single" w:sz="8" w:space="0" w:color="auto"/>
              <w:bottom w:val="single" w:sz="8" w:space="0" w:color="auto"/>
              <w:right w:val="single" w:sz="8" w:space="0" w:color="auto"/>
            </w:tcBorders>
            <w:vAlign w:val="center"/>
            <w:hideMark/>
          </w:tcPr>
          <w:p w14:paraId="22D84309" w14:textId="77777777" w:rsidR="00A12E40" w:rsidRPr="00A12E40" w:rsidRDefault="00A12E40" w:rsidP="00A12E40">
            <w:pPr>
              <w:widowControl/>
              <w:spacing w:after="0" w:line="240" w:lineRule="auto"/>
              <w:jc w:val="center"/>
              <w:rPr>
                <w:rFonts w:ascii="等线" w:eastAsia="等线" w:hAnsi="等线" w:cs="宋体" w:hint="eastAsia"/>
                <w:color w:val="000000"/>
                <w:kern w:val="0"/>
                <w:sz w:val="24"/>
                <w14:ligatures w14:val="none"/>
              </w:rPr>
            </w:pPr>
            <w:r w:rsidRPr="00A12E40">
              <w:rPr>
                <w:rFonts w:ascii="等线" w:eastAsia="等线" w:hAnsi="等线" w:cs="宋体" w:hint="eastAsia"/>
                <w:color w:val="000000"/>
                <w:kern w:val="0"/>
                <w:sz w:val="24"/>
                <w14:ligatures w14:val="none"/>
              </w:rPr>
              <w:lastRenderedPageBreak/>
              <w:t>勘探</w:t>
            </w:r>
          </w:p>
        </w:tc>
        <w:tc>
          <w:tcPr>
            <w:tcW w:w="0" w:type="auto"/>
            <w:tcBorders>
              <w:top w:val="nil"/>
              <w:left w:val="nil"/>
              <w:bottom w:val="single" w:sz="8" w:space="0" w:color="auto"/>
              <w:right w:val="single" w:sz="8" w:space="0" w:color="auto"/>
            </w:tcBorders>
            <w:vAlign w:val="center"/>
            <w:hideMark/>
          </w:tcPr>
          <w:p w14:paraId="5D907E6B" w14:textId="39D3A93B" w:rsidR="00A12E40" w:rsidRPr="00A12E40" w:rsidRDefault="00A12E40" w:rsidP="00A12E40">
            <w:pPr>
              <w:widowControl/>
              <w:spacing w:after="0" w:line="240" w:lineRule="auto"/>
              <w:jc w:val="center"/>
              <w:rPr>
                <w:rFonts w:ascii="宋体" w:eastAsia="宋体" w:hAnsi="宋体" w:cs="宋体" w:hint="eastAsia"/>
                <w:color w:val="000000"/>
                <w:kern w:val="0"/>
                <w:sz w:val="24"/>
                <w14:ligatures w14:val="none"/>
              </w:rPr>
            </w:pPr>
            <w:r w:rsidRPr="00A12E40">
              <w:rPr>
                <w:rFonts w:ascii="宋体" w:eastAsia="宋体" w:hAnsi="宋体" w:cs="宋体" w:hint="eastAsia"/>
                <w:color w:val="000000"/>
                <w:kern w:val="0"/>
                <w:sz w:val="24"/>
                <w14:ligatures w14:val="none"/>
              </w:rPr>
              <w:t>机器学习</w:t>
            </w:r>
            <w:r w:rsidRPr="00A12E40">
              <w:rPr>
                <w:rFonts w:ascii="Times New Roman" w:eastAsia="宋体" w:hAnsi="Times New Roman" w:cs="Times New Roman"/>
                <w:color w:val="000000"/>
                <w:kern w:val="0"/>
                <w:sz w:val="24"/>
                <w14:ligatures w14:val="none"/>
              </w:rPr>
              <w:t xml:space="preserve">+ </w:t>
            </w:r>
            <w:r w:rsidRPr="00A12E40">
              <w:rPr>
                <w:rFonts w:ascii="宋体" w:eastAsia="宋体" w:hAnsi="宋体" w:cs="宋体" w:hint="eastAsia"/>
                <w:color w:val="000000"/>
                <w:kern w:val="0"/>
                <w:sz w:val="24"/>
                <w14:ligatures w14:val="none"/>
              </w:rPr>
              <w:t>深度学习</w:t>
            </w:r>
          </w:p>
        </w:tc>
        <w:tc>
          <w:tcPr>
            <w:tcW w:w="0" w:type="auto"/>
            <w:tcBorders>
              <w:top w:val="nil"/>
              <w:left w:val="nil"/>
              <w:bottom w:val="single" w:sz="8" w:space="0" w:color="auto"/>
              <w:right w:val="single" w:sz="8" w:space="0" w:color="auto"/>
            </w:tcBorders>
            <w:vAlign w:val="center"/>
            <w:hideMark/>
          </w:tcPr>
          <w:p w14:paraId="0B4EBA06" w14:textId="77777777" w:rsidR="00A12E40" w:rsidRPr="00A12E40" w:rsidRDefault="00A12E40" w:rsidP="00A12E40">
            <w:pPr>
              <w:widowControl/>
              <w:spacing w:after="0" w:line="240" w:lineRule="auto"/>
              <w:jc w:val="center"/>
              <w:rPr>
                <w:rFonts w:ascii="宋体" w:eastAsia="宋体" w:hAnsi="宋体" w:cs="宋体" w:hint="eastAsia"/>
                <w:color w:val="000000"/>
                <w:kern w:val="0"/>
                <w:sz w:val="24"/>
                <w14:ligatures w14:val="none"/>
              </w:rPr>
            </w:pPr>
            <w:r w:rsidRPr="00A12E40">
              <w:rPr>
                <w:rFonts w:ascii="宋体" w:eastAsia="宋体" w:hAnsi="宋体" w:cs="宋体" w:hint="eastAsia"/>
                <w:color w:val="000000"/>
                <w:kern w:val="0"/>
                <w:sz w:val="24"/>
                <w14:ligatures w14:val="none"/>
              </w:rPr>
              <w:t>日本石油公司</w:t>
            </w:r>
            <w:r w:rsidRPr="00A12E40">
              <w:rPr>
                <w:rFonts w:ascii="Times New Roman" w:eastAsia="宋体" w:hAnsi="Times New Roman" w:cs="Times New Roman"/>
                <w:color w:val="000000"/>
                <w:kern w:val="0"/>
                <w:sz w:val="24"/>
                <w14:ligatures w14:val="none"/>
              </w:rPr>
              <w:t xml:space="preserve"> INPEX </w:t>
            </w:r>
            <w:r w:rsidRPr="00A12E40">
              <w:rPr>
                <w:rFonts w:ascii="宋体" w:eastAsia="宋体" w:hAnsi="宋体" w:cs="宋体" w:hint="eastAsia"/>
                <w:color w:val="000000"/>
                <w:kern w:val="0"/>
                <w:sz w:val="24"/>
                <w14:ligatures w14:val="none"/>
              </w:rPr>
              <w:t>与技术公司合作，在东南亚油气勘探项目中利用机器学习模型进行断层识别和储层结构解释。研究人员只对少量断层进行人工标注（约占整个地震数据体积的</w:t>
            </w:r>
            <w:r w:rsidRPr="00A12E40">
              <w:rPr>
                <w:rFonts w:ascii="Times New Roman" w:eastAsia="宋体" w:hAnsi="Times New Roman" w:cs="Times New Roman"/>
                <w:color w:val="000000"/>
                <w:kern w:val="0"/>
                <w:sz w:val="24"/>
                <w14:ligatures w14:val="none"/>
              </w:rPr>
              <w:t xml:space="preserve"> 4%</w:t>
            </w:r>
            <w:r w:rsidRPr="00A12E40">
              <w:rPr>
                <w:rFonts w:ascii="宋体" w:eastAsia="宋体" w:hAnsi="宋体" w:cs="宋体" w:hint="eastAsia"/>
                <w:color w:val="000000"/>
                <w:kern w:val="0"/>
                <w:sz w:val="24"/>
                <w14:ligatures w14:val="none"/>
              </w:rPr>
              <w:t>），然后利用机器学习模型自动推断剩余三维地震数据中的断层结构。结构解释时间减少约</w:t>
            </w:r>
            <w:r w:rsidRPr="00A12E40">
              <w:rPr>
                <w:rFonts w:ascii="Times New Roman" w:eastAsia="宋体" w:hAnsi="Times New Roman" w:cs="Times New Roman"/>
                <w:color w:val="000000"/>
                <w:kern w:val="0"/>
                <w:sz w:val="24"/>
                <w14:ligatures w14:val="none"/>
              </w:rPr>
              <w:t xml:space="preserve"> 80%</w:t>
            </w:r>
            <w:r w:rsidRPr="00A12E40">
              <w:rPr>
                <w:rFonts w:ascii="宋体" w:eastAsia="宋体" w:hAnsi="宋体" w:cs="宋体" w:hint="eastAsia"/>
                <w:color w:val="000000"/>
                <w:kern w:val="0"/>
                <w:sz w:val="24"/>
                <w14:ligatures w14:val="none"/>
              </w:rPr>
              <w:t>、能快速识别潜在油气圈闭结构等</w:t>
            </w:r>
          </w:p>
        </w:tc>
        <w:tc>
          <w:tcPr>
            <w:tcW w:w="0" w:type="auto"/>
            <w:tcBorders>
              <w:top w:val="nil"/>
              <w:left w:val="nil"/>
              <w:bottom w:val="single" w:sz="8" w:space="0" w:color="auto"/>
              <w:right w:val="single" w:sz="8" w:space="0" w:color="auto"/>
            </w:tcBorders>
            <w:vAlign w:val="center"/>
            <w:hideMark/>
          </w:tcPr>
          <w:p w14:paraId="664321EA" w14:textId="77777777" w:rsidR="00A12E40" w:rsidRPr="00A12E40" w:rsidRDefault="00A12E40" w:rsidP="00A12E40">
            <w:pPr>
              <w:widowControl/>
              <w:spacing w:after="0" w:line="240" w:lineRule="auto"/>
              <w:jc w:val="center"/>
              <w:rPr>
                <w:rFonts w:ascii="Times New Roman" w:eastAsia="等线" w:hAnsi="Times New Roman" w:cs="Times New Roman" w:hint="eastAsia"/>
                <w:color w:val="000000"/>
                <w:kern w:val="0"/>
                <w:sz w:val="24"/>
                <w14:ligatures w14:val="none"/>
              </w:rPr>
            </w:pPr>
            <w:r w:rsidRPr="00A12E40">
              <w:rPr>
                <w:rFonts w:ascii="Times New Roman" w:eastAsia="等线" w:hAnsi="Times New Roman" w:cs="Times New Roman"/>
                <w:color w:val="000000"/>
                <w:kern w:val="0"/>
                <w:sz w:val="24"/>
                <w14:ligatures w14:val="none"/>
              </w:rPr>
              <w:t>https://www.slb.com/resource-library/case-study-with-navigation/di/inpex-ai-accelerating-exploration-and-reservoir-characterization</w:t>
            </w:r>
          </w:p>
        </w:tc>
      </w:tr>
      <w:tr w:rsidR="00A12E40" w:rsidRPr="00A12E40" w14:paraId="499C1771" w14:textId="77777777" w:rsidTr="00A12E40">
        <w:trPr>
          <w:jc w:val="center"/>
        </w:trPr>
        <w:tc>
          <w:tcPr>
            <w:tcW w:w="0" w:type="auto"/>
            <w:vMerge w:val="restart"/>
            <w:tcBorders>
              <w:top w:val="nil"/>
              <w:left w:val="single" w:sz="8" w:space="0" w:color="auto"/>
              <w:bottom w:val="single" w:sz="8" w:space="0" w:color="000000"/>
              <w:right w:val="single" w:sz="8" w:space="0" w:color="auto"/>
            </w:tcBorders>
            <w:vAlign w:val="center"/>
            <w:hideMark/>
          </w:tcPr>
          <w:p w14:paraId="126315FF" w14:textId="77777777" w:rsidR="00A12E40" w:rsidRPr="00A12E40" w:rsidRDefault="00A12E40" w:rsidP="00A12E40">
            <w:pPr>
              <w:widowControl/>
              <w:spacing w:after="0" w:line="240" w:lineRule="auto"/>
              <w:jc w:val="center"/>
              <w:rPr>
                <w:rFonts w:ascii="等线" w:eastAsia="等线" w:hAnsi="等线" w:cs="宋体"/>
                <w:color w:val="000000"/>
                <w:kern w:val="0"/>
                <w:sz w:val="24"/>
                <w14:ligatures w14:val="none"/>
              </w:rPr>
            </w:pPr>
            <w:r w:rsidRPr="00A12E40">
              <w:rPr>
                <w:rFonts w:ascii="等线" w:eastAsia="等线" w:hAnsi="等线" w:cs="宋体" w:hint="eastAsia"/>
                <w:color w:val="000000"/>
                <w:kern w:val="0"/>
                <w:sz w:val="24"/>
                <w14:ligatures w14:val="none"/>
              </w:rPr>
              <w:t>钻井</w:t>
            </w:r>
          </w:p>
        </w:tc>
        <w:tc>
          <w:tcPr>
            <w:tcW w:w="0" w:type="auto"/>
            <w:vMerge w:val="restart"/>
            <w:tcBorders>
              <w:top w:val="nil"/>
              <w:left w:val="single" w:sz="8" w:space="0" w:color="auto"/>
              <w:bottom w:val="single" w:sz="8" w:space="0" w:color="000000"/>
              <w:right w:val="single" w:sz="8" w:space="0" w:color="auto"/>
            </w:tcBorders>
            <w:vAlign w:val="center"/>
            <w:hideMark/>
          </w:tcPr>
          <w:p w14:paraId="7E4F9B85" w14:textId="77777777" w:rsidR="00A12E40" w:rsidRPr="00A12E40" w:rsidRDefault="00A12E40" w:rsidP="00A12E40">
            <w:pPr>
              <w:widowControl/>
              <w:spacing w:after="0" w:line="240" w:lineRule="auto"/>
              <w:jc w:val="center"/>
              <w:rPr>
                <w:rFonts w:ascii="宋体" w:eastAsia="宋体" w:hAnsi="宋体" w:cs="宋体" w:hint="eastAsia"/>
                <w:color w:val="000000"/>
                <w:kern w:val="0"/>
                <w:sz w:val="24"/>
                <w14:ligatures w14:val="none"/>
              </w:rPr>
            </w:pPr>
            <w:r w:rsidRPr="00A12E40">
              <w:rPr>
                <w:rFonts w:ascii="宋体" w:eastAsia="宋体" w:hAnsi="宋体" w:cs="宋体" w:hint="eastAsia"/>
                <w:color w:val="000000"/>
                <w:kern w:val="0"/>
                <w:sz w:val="24"/>
                <w14:ligatures w14:val="none"/>
              </w:rPr>
              <w:t>深度学习结合时间序列模型、异常检测算法等</w:t>
            </w:r>
          </w:p>
        </w:tc>
        <w:tc>
          <w:tcPr>
            <w:tcW w:w="0" w:type="auto"/>
            <w:tcBorders>
              <w:top w:val="nil"/>
              <w:left w:val="nil"/>
              <w:bottom w:val="nil"/>
              <w:right w:val="single" w:sz="8" w:space="0" w:color="auto"/>
            </w:tcBorders>
            <w:vAlign w:val="center"/>
            <w:hideMark/>
          </w:tcPr>
          <w:p w14:paraId="4F0E2CE2" w14:textId="77777777" w:rsidR="00A12E40" w:rsidRPr="00A12E40" w:rsidRDefault="00A12E40" w:rsidP="00A12E40">
            <w:pPr>
              <w:widowControl/>
              <w:spacing w:after="0" w:line="240" w:lineRule="auto"/>
              <w:jc w:val="center"/>
              <w:rPr>
                <w:rFonts w:ascii="宋体" w:eastAsia="宋体" w:hAnsi="宋体" w:cs="宋体" w:hint="eastAsia"/>
                <w:color w:val="000000"/>
                <w:kern w:val="0"/>
                <w:sz w:val="24"/>
                <w14:ligatures w14:val="none"/>
              </w:rPr>
            </w:pPr>
            <w:r w:rsidRPr="00A12E40">
              <w:rPr>
                <w:rFonts w:ascii="宋体" w:eastAsia="宋体" w:hAnsi="宋体" w:cs="宋体" w:hint="eastAsia"/>
                <w:color w:val="000000"/>
                <w:kern w:val="0"/>
                <w:sz w:val="24"/>
                <w14:ligatures w14:val="none"/>
              </w:rPr>
              <w:t>模型自动推荐最优钻井轨迹和井位</w:t>
            </w:r>
            <w:r w:rsidRPr="00A12E40">
              <w:rPr>
                <w:rFonts w:ascii="Times New Roman" w:eastAsia="宋体" w:hAnsi="Times New Roman" w:cs="Times New Roman"/>
                <w:color w:val="000000"/>
                <w:kern w:val="0"/>
                <w:sz w:val="24"/>
                <w14:ligatures w14:val="none"/>
              </w:rPr>
              <w:t>,</w:t>
            </w:r>
            <w:r w:rsidRPr="00A12E40">
              <w:rPr>
                <w:rFonts w:ascii="宋体" w:eastAsia="宋体" w:hAnsi="宋体" w:cs="宋体" w:hint="eastAsia"/>
                <w:color w:val="000000"/>
                <w:kern w:val="0"/>
                <w:sz w:val="24"/>
                <w14:ligatures w14:val="none"/>
              </w:rPr>
              <w:t>同时进行设备故障预测。</w:t>
            </w:r>
            <w:r w:rsidRPr="00A12E40">
              <w:rPr>
                <w:rFonts w:ascii="Times New Roman" w:eastAsia="宋体" w:hAnsi="Times New Roman" w:cs="Times New Roman"/>
                <w:color w:val="000000"/>
                <w:kern w:val="0"/>
                <w:sz w:val="21"/>
                <w:szCs w:val="21"/>
                <w14:ligatures w14:val="none"/>
              </w:rPr>
              <w:t>ADNOC</w:t>
            </w:r>
          </w:p>
        </w:tc>
        <w:tc>
          <w:tcPr>
            <w:tcW w:w="0" w:type="auto"/>
            <w:vMerge w:val="restart"/>
            <w:tcBorders>
              <w:top w:val="nil"/>
              <w:left w:val="single" w:sz="8" w:space="0" w:color="auto"/>
              <w:bottom w:val="single" w:sz="8" w:space="0" w:color="000000"/>
              <w:right w:val="single" w:sz="8" w:space="0" w:color="auto"/>
            </w:tcBorders>
            <w:vAlign w:val="center"/>
            <w:hideMark/>
          </w:tcPr>
          <w:p w14:paraId="6DDCC5C5" w14:textId="77777777" w:rsidR="00A12E40" w:rsidRPr="00A12E40" w:rsidRDefault="00A12E40" w:rsidP="00A12E40">
            <w:pPr>
              <w:widowControl/>
              <w:spacing w:after="0" w:line="240" w:lineRule="auto"/>
              <w:jc w:val="center"/>
              <w:rPr>
                <w:rFonts w:ascii="Times New Roman" w:eastAsia="等线" w:hAnsi="Times New Roman" w:cs="Times New Roman" w:hint="eastAsia"/>
                <w:color w:val="000000"/>
                <w:kern w:val="0"/>
                <w:sz w:val="24"/>
                <w14:ligatures w14:val="none"/>
              </w:rPr>
            </w:pPr>
            <w:r w:rsidRPr="00A12E40">
              <w:rPr>
                <w:rFonts w:ascii="Times New Roman" w:eastAsia="等线" w:hAnsi="Times New Roman" w:cs="Times New Roman"/>
                <w:color w:val="000000"/>
                <w:kern w:val="0"/>
                <w:sz w:val="24"/>
                <w14:ligatures w14:val="none"/>
              </w:rPr>
              <w:t>https://www.pertamapartners.com/case-studies/adnoc-ai-drilling-transformation</w:t>
            </w:r>
          </w:p>
        </w:tc>
      </w:tr>
      <w:tr w:rsidR="00A12E40" w:rsidRPr="00A12E40" w14:paraId="2E140F8B" w14:textId="77777777" w:rsidTr="00A12E40">
        <w:trPr>
          <w:jc w:val="center"/>
        </w:trPr>
        <w:tc>
          <w:tcPr>
            <w:tcW w:w="0" w:type="auto"/>
            <w:vMerge/>
            <w:tcBorders>
              <w:top w:val="nil"/>
              <w:left w:val="single" w:sz="8" w:space="0" w:color="auto"/>
              <w:bottom w:val="single" w:sz="8" w:space="0" w:color="000000"/>
              <w:right w:val="single" w:sz="8" w:space="0" w:color="auto"/>
            </w:tcBorders>
            <w:vAlign w:val="center"/>
            <w:hideMark/>
          </w:tcPr>
          <w:p w14:paraId="043C3414" w14:textId="77777777" w:rsidR="00A12E40" w:rsidRPr="00A12E40" w:rsidRDefault="00A12E40" w:rsidP="00A12E40">
            <w:pPr>
              <w:widowControl/>
              <w:spacing w:after="0" w:line="240" w:lineRule="auto"/>
              <w:rPr>
                <w:rFonts w:ascii="等线" w:eastAsia="等线" w:hAnsi="等线" w:cs="宋体"/>
                <w:color w:val="000000"/>
                <w:kern w:val="0"/>
                <w:sz w:val="24"/>
                <w14:ligatures w14:val="none"/>
              </w:rPr>
            </w:pPr>
          </w:p>
        </w:tc>
        <w:tc>
          <w:tcPr>
            <w:tcW w:w="0" w:type="auto"/>
            <w:vMerge/>
            <w:tcBorders>
              <w:top w:val="nil"/>
              <w:left w:val="single" w:sz="8" w:space="0" w:color="auto"/>
              <w:bottom w:val="single" w:sz="8" w:space="0" w:color="000000"/>
              <w:right w:val="single" w:sz="8" w:space="0" w:color="auto"/>
            </w:tcBorders>
            <w:vAlign w:val="center"/>
            <w:hideMark/>
          </w:tcPr>
          <w:p w14:paraId="14A69792" w14:textId="77777777" w:rsidR="00A12E40" w:rsidRPr="00A12E40" w:rsidRDefault="00A12E40" w:rsidP="00A12E40">
            <w:pPr>
              <w:widowControl/>
              <w:spacing w:after="0" w:line="240" w:lineRule="auto"/>
              <w:rPr>
                <w:rFonts w:ascii="宋体" w:eastAsia="宋体" w:hAnsi="宋体" w:cs="宋体"/>
                <w:color w:val="000000"/>
                <w:kern w:val="0"/>
                <w:sz w:val="24"/>
                <w14:ligatures w14:val="none"/>
              </w:rPr>
            </w:pPr>
          </w:p>
        </w:tc>
        <w:tc>
          <w:tcPr>
            <w:tcW w:w="0" w:type="auto"/>
            <w:tcBorders>
              <w:top w:val="nil"/>
              <w:left w:val="nil"/>
              <w:bottom w:val="nil"/>
              <w:right w:val="single" w:sz="8" w:space="0" w:color="auto"/>
            </w:tcBorders>
            <w:vAlign w:val="center"/>
            <w:hideMark/>
          </w:tcPr>
          <w:p w14:paraId="56116746" w14:textId="77777777" w:rsidR="00A12E40" w:rsidRPr="00A12E40" w:rsidRDefault="00A12E40" w:rsidP="00A12E40">
            <w:pPr>
              <w:widowControl/>
              <w:spacing w:after="0" w:line="240" w:lineRule="auto"/>
              <w:jc w:val="center"/>
              <w:rPr>
                <w:rFonts w:ascii="宋体" w:eastAsia="宋体" w:hAnsi="宋体" w:cs="宋体"/>
                <w:color w:val="000000"/>
                <w:kern w:val="0"/>
                <w:sz w:val="24"/>
                <w14:ligatures w14:val="none"/>
              </w:rPr>
            </w:pPr>
            <w:r w:rsidRPr="00A12E40">
              <w:rPr>
                <w:rFonts w:ascii="宋体" w:eastAsia="宋体" w:hAnsi="宋体" w:cs="宋体" w:hint="eastAsia"/>
                <w:color w:val="000000"/>
                <w:kern w:val="0"/>
                <w:sz w:val="24"/>
                <w14:ligatures w14:val="none"/>
              </w:rPr>
              <w:t>公司在实际投入中采收率提高</w:t>
            </w:r>
            <w:r w:rsidRPr="00A12E40">
              <w:rPr>
                <w:rFonts w:ascii="Times New Roman" w:eastAsia="宋体" w:hAnsi="Times New Roman" w:cs="Times New Roman"/>
                <w:color w:val="000000"/>
                <w:kern w:val="0"/>
                <w:sz w:val="24"/>
                <w14:ligatures w14:val="none"/>
              </w:rPr>
              <w:t xml:space="preserve"> 23%</w:t>
            </w:r>
            <w:r w:rsidRPr="00A12E40">
              <w:rPr>
                <w:rFonts w:ascii="宋体" w:eastAsia="宋体" w:hAnsi="宋体" w:cs="宋体" w:hint="eastAsia"/>
                <w:color w:val="000000"/>
                <w:kern w:val="0"/>
                <w:sz w:val="24"/>
                <w14:ligatures w14:val="none"/>
              </w:rPr>
              <w:t>，年度钻井成本减少</w:t>
            </w:r>
            <w:r w:rsidRPr="00A12E40">
              <w:rPr>
                <w:rFonts w:ascii="Times New Roman" w:eastAsia="宋体" w:hAnsi="Times New Roman" w:cs="Times New Roman"/>
                <w:color w:val="000000"/>
                <w:kern w:val="0"/>
                <w:sz w:val="24"/>
                <w14:ligatures w14:val="none"/>
              </w:rPr>
              <w:t xml:space="preserve"> </w:t>
            </w:r>
            <w:r w:rsidRPr="00A12E40">
              <w:rPr>
                <w:rFonts w:ascii="宋体" w:eastAsia="宋体" w:hAnsi="宋体" w:cs="宋体" w:hint="eastAsia"/>
                <w:color w:val="000000"/>
                <w:kern w:val="0"/>
                <w:sz w:val="24"/>
                <w14:ligatures w14:val="none"/>
              </w:rPr>
              <w:t>约</w:t>
            </w:r>
            <w:r w:rsidRPr="00A12E40">
              <w:rPr>
                <w:rFonts w:ascii="Times New Roman" w:eastAsia="宋体" w:hAnsi="Times New Roman" w:cs="Times New Roman"/>
                <w:color w:val="000000"/>
                <w:kern w:val="0"/>
                <w:sz w:val="24"/>
                <w14:ligatures w14:val="none"/>
              </w:rPr>
              <w:t>4.8</w:t>
            </w:r>
            <w:r w:rsidRPr="00A12E40">
              <w:rPr>
                <w:rFonts w:ascii="宋体" w:eastAsia="宋体" w:hAnsi="宋体" w:cs="宋体" w:hint="eastAsia"/>
                <w:color w:val="000000"/>
                <w:kern w:val="0"/>
                <w:sz w:val="24"/>
                <w14:ligatures w14:val="none"/>
              </w:rPr>
              <w:t>亿美元，设备利用率提高</w:t>
            </w:r>
            <w:r w:rsidRPr="00A12E40">
              <w:rPr>
                <w:rFonts w:ascii="Times New Roman" w:eastAsia="宋体" w:hAnsi="Times New Roman" w:cs="Times New Roman"/>
                <w:color w:val="000000"/>
                <w:kern w:val="0"/>
                <w:sz w:val="24"/>
                <w14:ligatures w14:val="none"/>
              </w:rPr>
              <w:t xml:space="preserve"> 34%</w:t>
            </w:r>
            <w:r w:rsidRPr="00A12E40">
              <w:rPr>
                <w:rFonts w:ascii="宋体" w:eastAsia="宋体" w:hAnsi="宋体" w:cs="宋体" w:hint="eastAsia"/>
                <w:color w:val="000000"/>
                <w:kern w:val="0"/>
                <w:sz w:val="24"/>
                <w14:ligatures w14:val="none"/>
              </w:rPr>
              <w:t>。</w:t>
            </w:r>
          </w:p>
        </w:tc>
        <w:tc>
          <w:tcPr>
            <w:tcW w:w="0" w:type="auto"/>
            <w:vMerge/>
            <w:tcBorders>
              <w:top w:val="nil"/>
              <w:left w:val="single" w:sz="8" w:space="0" w:color="auto"/>
              <w:bottom w:val="single" w:sz="8" w:space="0" w:color="000000"/>
              <w:right w:val="single" w:sz="8" w:space="0" w:color="auto"/>
            </w:tcBorders>
            <w:vAlign w:val="center"/>
            <w:hideMark/>
          </w:tcPr>
          <w:p w14:paraId="74B3BAD9" w14:textId="77777777" w:rsidR="00A12E40" w:rsidRPr="00A12E40" w:rsidRDefault="00A12E40" w:rsidP="00A12E40">
            <w:pPr>
              <w:widowControl/>
              <w:spacing w:after="0" w:line="240" w:lineRule="auto"/>
              <w:rPr>
                <w:rFonts w:ascii="Times New Roman" w:eastAsia="等线" w:hAnsi="Times New Roman" w:cs="Times New Roman"/>
                <w:color w:val="000000"/>
                <w:kern w:val="0"/>
                <w:sz w:val="24"/>
                <w14:ligatures w14:val="none"/>
              </w:rPr>
            </w:pPr>
          </w:p>
        </w:tc>
      </w:tr>
      <w:tr w:rsidR="00A12E40" w:rsidRPr="00A12E40" w14:paraId="76AC990F" w14:textId="77777777" w:rsidTr="00A12E40">
        <w:trPr>
          <w:jc w:val="center"/>
        </w:trPr>
        <w:tc>
          <w:tcPr>
            <w:tcW w:w="0" w:type="auto"/>
            <w:vMerge/>
            <w:tcBorders>
              <w:top w:val="nil"/>
              <w:left w:val="single" w:sz="8" w:space="0" w:color="auto"/>
              <w:bottom w:val="single" w:sz="8" w:space="0" w:color="000000"/>
              <w:right w:val="single" w:sz="8" w:space="0" w:color="auto"/>
            </w:tcBorders>
            <w:vAlign w:val="center"/>
            <w:hideMark/>
          </w:tcPr>
          <w:p w14:paraId="52A512F3" w14:textId="77777777" w:rsidR="00A12E40" w:rsidRPr="00A12E40" w:rsidRDefault="00A12E40" w:rsidP="00A12E40">
            <w:pPr>
              <w:widowControl/>
              <w:spacing w:after="0" w:line="240" w:lineRule="auto"/>
              <w:rPr>
                <w:rFonts w:ascii="等线" w:eastAsia="等线" w:hAnsi="等线" w:cs="宋体"/>
                <w:color w:val="000000"/>
                <w:kern w:val="0"/>
                <w:sz w:val="24"/>
                <w14:ligatures w14:val="none"/>
              </w:rPr>
            </w:pPr>
          </w:p>
        </w:tc>
        <w:tc>
          <w:tcPr>
            <w:tcW w:w="0" w:type="auto"/>
            <w:vMerge/>
            <w:tcBorders>
              <w:top w:val="nil"/>
              <w:left w:val="single" w:sz="8" w:space="0" w:color="auto"/>
              <w:bottom w:val="single" w:sz="8" w:space="0" w:color="000000"/>
              <w:right w:val="single" w:sz="8" w:space="0" w:color="auto"/>
            </w:tcBorders>
            <w:vAlign w:val="center"/>
            <w:hideMark/>
          </w:tcPr>
          <w:p w14:paraId="21D4CABF" w14:textId="77777777" w:rsidR="00A12E40" w:rsidRPr="00A12E40" w:rsidRDefault="00A12E40" w:rsidP="00A12E40">
            <w:pPr>
              <w:widowControl/>
              <w:spacing w:after="0" w:line="240" w:lineRule="auto"/>
              <w:rPr>
                <w:rFonts w:ascii="宋体" w:eastAsia="宋体" w:hAnsi="宋体" w:cs="宋体"/>
                <w:color w:val="000000"/>
                <w:kern w:val="0"/>
                <w:sz w:val="24"/>
                <w14:ligatures w14:val="none"/>
              </w:rPr>
            </w:pPr>
          </w:p>
        </w:tc>
        <w:tc>
          <w:tcPr>
            <w:tcW w:w="0" w:type="auto"/>
            <w:tcBorders>
              <w:top w:val="nil"/>
              <w:left w:val="nil"/>
              <w:bottom w:val="single" w:sz="8" w:space="0" w:color="auto"/>
              <w:right w:val="single" w:sz="8" w:space="0" w:color="auto"/>
            </w:tcBorders>
            <w:vAlign w:val="center"/>
            <w:hideMark/>
          </w:tcPr>
          <w:p w14:paraId="7B72CC63" w14:textId="77777777" w:rsidR="00A12E40" w:rsidRPr="00A12E40" w:rsidRDefault="00A12E40" w:rsidP="00A12E40">
            <w:pPr>
              <w:widowControl/>
              <w:spacing w:after="0" w:line="240" w:lineRule="auto"/>
              <w:jc w:val="center"/>
              <w:rPr>
                <w:rFonts w:ascii="Times New Roman" w:eastAsia="等线" w:hAnsi="Times New Roman" w:cs="Times New Roman" w:hint="eastAsia"/>
                <w:color w:val="000000"/>
                <w:kern w:val="0"/>
                <w:sz w:val="24"/>
                <w14:ligatures w14:val="none"/>
              </w:rPr>
            </w:pPr>
            <w:r w:rsidRPr="00A12E40">
              <w:rPr>
                <w:rFonts w:ascii="Times New Roman" w:eastAsia="等线" w:hAnsi="Times New Roman" w:cs="Times New Roman"/>
                <w:color w:val="000000"/>
                <w:kern w:val="0"/>
                <w:sz w:val="24"/>
                <w14:ligatures w14:val="none"/>
              </w:rPr>
              <w:t xml:space="preserve">　</w:t>
            </w:r>
          </w:p>
        </w:tc>
        <w:tc>
          <w:tcPr>
            <w:tcW w:w="0" w:type="auto"/>
            <w:vMerge/>
            <w:tcBorders>
              <w:top w:val="nil"/>
              <w:left w:val="single" w:sz="8" w:space="0" w:color="auto"/>
              <w:bottom w:val="single" w:sz="8" w:space="0" w:color="000000"/>
              <w:right w:val="single" w:sz="8" w:space="0" w:color="auto"/>
            </w:tcBorders>
            <w:vAlign w:val="center"/>
            <w:hideMark/>
          </w:tcPr>
          <w:p w14:paraId="7E17EB58" w14:textId="77777777" w:rsidR="00A12E40" w:rsidRPr="00A12E40" w:rsidRDefault="00A12E40" w:rsidP="00A12E40">
            <w:pPr>
              <w:widowControl/>
              <w:spacing w:after="0" w:line="240" w:lineRule="auto"/>
              <w:rPr>
                <w:rFonts w:ascii="Times New Roman" w:eastAsia="等线" w:hAnsi="Times New Roman" w:cs="Times New Roman"/>
                <w:color w:val="000000"/>
                <w:kern w:val="0"/>
                <w:sz w:val="24"/>
                <w14:ligatures w14:val="none"/>
              </w:rPr>
            </w:pPr>
          </w:p>
        </w:tc>
      </w:tr>
      <w:tr w:rsidR="00A12E40" w:rsidRPr="00A12E40" w14:paraId="4ED637B4" w14:textId="77777777" w:rsidTr="00A12E40">
        <w:trPr>
          <w:jc w:val="center"/>
        </w:trPr>
        <w:tc>
          <w:tcPr>
            <w:tcW w:w="0" w:type="auto"/>
            <w:tcBorders>
              <w:top w:val="nil"/>
              <w:left w:val="single" w:sz="8" w:space="0" w:color="auto"/>
              <w:bottom w:val="single" w:sz="8" w:space="0" w:color="auto"/>
              <w:right w:val="single" w:sz="8" w:space="0" w:color="auto"/>
            </w:tcBorders>
            <w:vAlign w:val="center"/>
            <w:hideMark/>
          </w:tcPr>
          <w:p w14:paraId="5678CBA9" w14:textId="77777777" w:rsidR="00A12E40" w:rsidRPr="00A12E40" w:rsidRDefault="00A12E40" w:rsidP="00A12E40">
            <w:pPr>
              <w:widowControl/>
              <w:spacing w:after="0" w:line="240" w:lineRule="auto"/>
              <w:jc w:val="center"/>
              <w:rPr>
                <w:rFonts w:ascii="等线" w:eastAsia="等线" w:hAnsi="等线" w:cs="宋体"/>
                <w:color w:val="000000"/>
                <w:kern w:val="0"/>
                <w:sz w:val="24"/>
                <w14:ligatures w14:val="none"/>
              </w:rPr>
            </w:pPr>
            <w:r w:rsidRPr="00A12E40">
              <w:rPr>
                <w:rFonts w:ascii="等线" w:eastAsia="等线" w:hAnsi="等线" w:cs="宋体" w:hint="eastAsia"/>
                <w:color w:val="000000"/>
                <w:kern w:val="0"/>
                <w:sz w:val="24"/>
                <w14:ligatures w14:val="none"/>
              </w:rPr>
              <w:t>完井</w:t>
            </w:r>
          </w:p>
        </w:tc>
        <w:tc>
          <w:tcPr>
            <w:tcW w:w="0" w:type="auto"/>
            <w:tcBorders>
              <w:top w:val="nil"/>
              <w:left w:val="nil"/>
              <w:bottom w:val="single" w:sz="8" w:space="0" w:color="auto"/>
              <w:right w:val="single" w:sz="8" w:space="0" w:color="auto"/>
            </w:tcBorders>
            <w:vAlign w:val="center"/>
            <w:hideMark/>
          </w:tcPr>
          <w:p w14:paraId="7329EBEE" w14:textId="77777777" w:rsidR="00A12E40" w:rsidRPr="00A12E40" w:rsidRDefault="00A12E40" w:rsidP="00A12E40">
            <w:pPr>
              <w:widowControl/>
              <w:spacing w:after="0" w:line="240" w:lineRule="auto"/>
              <w:jc w:val="center"/>
              <w:rPr>
                <w:rFonts w:ascii="宋体" w:eastAsia="宋体" w:hAnsi="宋体" w:cs="宋体" w:hint="eastAsia"/>
                <w:color w:val="000000"/>
                <w:kern w:val="0"/>
                <w:sz w:val="24"/>
                <w14:ligatures w14:val="none"/>
              </w:rPr>
            </w:pPr>
            <w:r w:rsidRPr="00A12E40">
              <w:rPr>
                <w:rFonts w:ascii="宋体" w:eastAsia="宋体" w:hAnsi="宋体" w:cs="宋体" w:hint="eastAsia"/>
                <w:color w:val="000000"/>
                <w:kern w:val="0"/>
                <w:sz w:val="24"/>
                <w14:ligatures w14:val="none"/>
              </w:rPr>
              <w:t>机器学习模型</w:t>
            </w:r>
            <w:r w:rsidRPr="00A12E40">
              <w:rPr>
                <w:rFonts w:ascii="Times New Roman" w:eastAsia="宋体" w:hAnsi="Times New Roman" w:cs="Times New Roman"/>
                <w:color w:val="000000"/>
                <w:kern w:val="0"/>
                <w:sz w:val="24"/>
                <w14:ligatures w14:val="none"/>
              </w:rPr>
              <w:t xml:space="preserve"> + </w:t>
            </w:r>
            <w:r w:rsidRPr="00A12E40">
              <w:rPr>
                <w:rFonts w:ascii="宋体" w:eastAsia="宋体" w:hAnsi="宋体" w:cs="宋体" w:hint="eastAsia"/>
                <w:color w:val="000000"/>
                <w:kern w:val="0"/>
                <w:sz w:val="24"/>
                <w14:ligatures w14:val="none"/>
              </w:rPr>
              <w:t>实时数据控制系统</w:t>
            </w:r>
          </w:p>
        </w:tc>
        <w:tc>
          <w:tcPr>
            <w:tcW w:w="0" w:type="auto"/>
            <w:tcBorders>
              <w:top w:val="nil"/>
              <w:left w:val="nil"/>
              <w:bottom w:val="single" w:sz="8" w:space="0" w:color="auto"/>
              <w:right w:val="single" w:sz="8" w:space="0" w:color="auto"/>
            </w:tcBorders>
            <w:vAlign w:val="center"/>
            <w:hideMark/>
          </w:tcPr>
          <w:p w14:paraId="2A4D0BFD" w14:textId="77777777" w:rsidR="00A12E40" w:rsidRPr="00A12E40" w:rsidRDefault="00A12E40" w:rsidP="00A12E40">
            <w:pPr>
              <w:widowControl/>
              <w:spacing w:after="0" w:line="240" w:lineRule="auto"/>
              <w:jc w:val="center"/>
              <w:rPr>
                <w:rFonts w:ascii="等线" w:eastAsia="等线" w:hAnsi="等线" w:cs="宋体" w:hint="eastAsia"/>
                <w:color w:val="000000"/>
                <w:kern w:val="0"/>
                <w:sz w:val="21"/>
                <w:szCs w:val="21"/>
                <w14:ligatures w14:val="none"/>
              </w:rPr>
            </w:pPr>
            <w:r w:rsidRPr="00A12E40">
              <w:rPr>
                <w:rFonts w:ascii="等线" w:eastAsia="等线" w:hAnsi="等线" w:cs="宋体" w:hint="eastAsia"/>
                <w:color w:val="000000"/>
                <w:kern w:val="0"/>
                <w:sz w:val="21"/>
                <w:szCs w:val="21"/>
                <w14:ligatures w14:val="none"/>
              </w:rPr>
              <w:t>模型实时分析压裂压力、注入速率等，使得哈里伯顿（Halliburton） 与其合作伙伴的实践中压裂施工时间缩短、提前终止压裂减少约 78%</w:t>
            </w:r>
          </w:p>
        </w:tc>
        <w:tc>
          <w:tcPr>
            <w:tcW w:w="0" w:type="auto"/>
            <w:tcBorders>
              <w:top w:val="nil"/>
              <w:left w:val="nil"/>
              <w:bottom w:val="single" w:sz="8" w:space="0" w:color="auto"/>
              <w:right w:val="single" w:sz="8" w:space="0" w:color="auto"/>
            </w:tcBorders>
            <w:vAlign w:val="center"/>
            <w:hideMark/>
          </w:tcPr>
          <w:p w14:paraId="68D1AC91" w14:textId="77777777" w:rsidR="00A12E40" w:rsidRPr="00A12E40" w:rsidRDefault="00A12E40" w:rsidP="00A12E40">
            <w:pPr>
              <w:widowControl/>
              <w:spacing w:after="0" w:line="240" w:lineRule="auto"/>
              <w:jc w:val="center"/>
              <w:rPr>
                <w:rFonts w:ascii="Times New Roman" w:eastAsia="等线" w:hAnsi="Times New Roman" w:cs="Times New Roman" w:hint="eastAsia"/>
                <w:color w:val="000000"/>
                <w:kern w:val="0"/>
                <w:sz w:val="24"/>
                <w14:ligatures w14:val="none"/>
              </w:rPr>
            </w:pPr>
            <w:r w:rsidRPr="00A12E40">
              <w:rPr>
                <w:rFonts w:ascii="Times New Roman" w:eastAsia="等线" w:hAnsi="Times New Roman" w:cs="Times New Roman"/>
                <w:color w:val="000000"/>
                <w:kern w:val="0"/>
                <w:sz w:val="24"/>
                <w14:ligatures w14:val="none"/>
              </w:rPr>
              <w:t>https://www.ogj.com/drilling-production/article/55309644/ai-improves-fracturing-performance</w:t>
            </w:r>
          </w:p>
        </w:tc>
      </w:tr>
      <w:tr w:rsidR="00A12E40" w:rsidRPr="00A12E40" w14:paraId="344FBF26" w14:textId="77777777" w:rsidTr="00A12E40">
        <w:trPr>
          <w:jc w:val="center"/>
        </w:trPr>
        <w:tc>
          <w:tcPr>
            <w:tcW w:w="0" w:type="auto"/>
            <w:tcBorders>
              <w:top w:val="nil"/>
              <w:left w:val="single" w:sz="8" w:space="0" w:color="auto"/>
              <w:bottom w:val="single" w:sz="8" w:space="0" w:color="auto"/>
              <w:right w:val="single" w:sz="8" w:space="0" w:color="auto"/>
            </w:tcBorders>
            <w:vAlign w:val="center"/>
            <w:hideMark/>
          </w:tcPr>
          <w:p w14:paraId="0B23C5FE" w14:textId="77777777" w:rsidR="00A12E40" w:rsidRPr="00A12E40" w:rsidRDefault="00A12E40" w:rsidP="00A12E40">
            <w:pPr>
              <w:widowControl/>
              <w:spacing w:after="0" w:line="240" w:lineRule="auto"/>
              <w:jc w:val="center"/>
              <w:rPr>
                <w:rFonts w:ascii="等线" w:eastAsia="等线" w:hAnsi="等线" w:cs="宋体"/>
                <w:color w:val="000000"/>
                <w:kern w:val="0"/>
                <w:sz w:val="24"/>
                <w14:ligatures w14:val="none"/>
              </w:rPr>
            </w:pPr>
            <w:r w:rsidRPr="00A12E40">
              <w:rPr>
                <w:rFonts w:ascii="等线" w:eastAsia="等线" w:hAnsi="等线" w:cs="宋体" w:hint="eastAsia"/>
                <w:color w:val="000000"/>
                <w:kern w:val="0"/>
                <w:sz w:val="24"/>
                <w14:ligatures w14:val="none"/>
              </w:rPr>
              <w:t>集输</w:t>
            </w:r>
          </w:p>
        </w:tc>
        <w:tc>
          <w:tcPr>
            <w:tcW w:w="0" w:type="auto"/>
            <w:tcBorders>
              <w:top w:val="nil"/>
              <w:left w:val="nil"/>
              <w:bottom w:val="single" w:sz="8" w:space="0" w:color="auto"/>
              <w:right w:val="single" w:sz="8" w:space="0" w:color="auto"/>
            </w:tcBorders>
            <w:vAlign w:val="center"/>
            <w:hideMark/>
          </w:tcPr>
          <w:p w14:paraId="766F4D54" w14:textId="77777777" w:rsidR="00A12E40" w:rsidRPr="00A12E40" w:rsidRDefault="00A12E40" w:rsidP="00A12E40">
            <w:pPr>
              <w:widowControl/>
              <w:spacing w:after="0" w:line="240" w:lineRule="auto"/>
              <w:jc w:val="center"/>
              <w:rPr>
                <w:rFonts w:ascii="宋体" w:eastAsia="宋体" w:hAnsi="宋体" w:cs="宋体" w:hint="eastAsia"/>
                <w:color w:val="000000"/>
                <w:kern w:val="0"/>
                <w:sz w:val="24"/>
                <w14:ligatures w14:val="none"/>
              </w:rPr>
            </w:pPr>
            <w:r w:rsidRPr="00A12E40">
              <w:rPr>
                <w:rFonts w:ascii="宋体" w:eastAsia="宋体" w:hAnsi="宋体" w:cs="宋体" w:hint="eastAsia"/>
                <w:color w:val="000000"/>
                <w:kern w:val="0"/>
                <w:sz w:val="24"/>
                <w14:ligatures w14:val="none"/>
              </w:rPr>
              <w:t>研究人员利用管道运行数据（如</w:t>
            </w:r>
            <w:r w:rsidRPr="00A12E40">
              <w:rPr>
                <w:rFonts w:ascii="Times New Roman" w:eastAsia="宋体" w:hAnsi="Times New Roman" w:cs="Times New Roman"/>
                <w:color w:val="000000"/>
                <w:kern w:val="0"/>
                <w:sz w:val="24"/>
                <w14:ligatures w14:val="none"/>
              </w:rPr>
              <w:t xml:space="preserve"> </w:t>
            </w:r>
            <w:r w:rsidRPr="00A12E40">
              <w:rPr>
                <w:rFonts w:ascii="宋体" w:eastAsia="宋体" w:hAnsi="宋体" w:cs="宋体" w:hint="eastAsia"/>
                <w:color w:val="000000"/>
                <w:kern w:val="0"/>
                <w:sz w:val="24"/>
                <w14:ligatures w14:val="none"/>
              </w:rPr>
              <w:lastRenderedPageBreak/>
              <w:t>压力、温度、流量）建立机器学习模型，对集输管道进行实时异常监测</w:t>
            </w:r>
          </w:p>
        </w:tc>
        <w:tc>
          <w:tcPr>
            <w:tcW w:w="0" w:type="auto"/>
            <w:tcBorders>
              <w:top w:val="nil"/>
              <w:left w:val="nil"/>
              <w:bottom w:val="single" w:sz="8" w:space="0" w:color="auto"/>
              <w:right w:val="single" w:sz="8" w:space="0" w:color="auto"/>
            </w:tcBorders>
            <w:vAlign w:val="center"/>
            <w:hideMark/>
          </w:tcPr>
          <w:p w14:paraId="26F6883A" w14:textId="77777777" w:rsidR="00A12E40" w:rsidRPr="00A12E40" w:rsidRDefault="00A12E40" w:rsidP="00A12E40">
            <w:pPr>
              <w:widowControl/>
              <w:spacing w:after="0" w:line="240" w:lineRule="auto"/>
              <w:jc w:val="center"/>
              <w:rPr>
                <w:rFonts w:ascii="宋体" w:eastAsia="宋体" w:hAnsi="宋体" w:cs="宋体" w:hint="eastAsia"/>
                <w:color w:val="000000"/>
                <w:kern w:val="0"/>
                <w:sz w:val="24"/>
                <w14:ligatures w14:val="none"/>
              </w:rPr>
            </w:pPr>
            <w:r w:rsidRPr="00A12E40">
              <w:rPr>
                <w:rFonts w:ascii="宋体" w:eastAsia="宋体" w:hAnsi="宋体" w:cs="宋体" w:hint="eastAsia"/>
                <w:color w:val="000000"/>
                <w:kern w:val="0"/>
                <w:sz w:val="24"/>
                <w14:ligatures w14:val="none"/>
              </w:rPr>
              <w:lastRenderedPageBreak/>
              <w:t>研究人员建立了一个智能泄漏检测系统。该系统能够通过实时数据识别管道异常状态并判断是否发生泄漏。模型泄漏检测准确率</w:t>
            </w:r>
            <w:r w:rsidRPr="00A12E40">
              <w:rPr>
                <w:rFonts w:ascii="宋体" w:eastAsia="宋体" w:hAnsi="宋体" w:cs="宋体" w:hint="eastAsia"/>
                <w:color w:val="000000"/>
                <w:kern w:val="0"/>
                <w:sz w:val="24"/>
                <w14:ligatures w14:val="none"/>
              </w:rPr>
              <w:lastRenderedPageBreak/>
              <w:t>达到</w:t>
            </w:r>
            <w:r w:rsidRPr="00A12E40">
              <w:rPr>
                <w:rFonts w:ascii="Times New Roman" w:eastAsia="宋体" w:hAnsi="Times New Roman" w:cs="Times New Roman"/>
                <w:color w:val="000000"/>
                <w:kern w:val="0"/>
                <w:sz w:val="24"/>
                <w14:ligatures w14:val="none"/>
              </w:rPr>
              <w:t xml:space="preserve"> </w:t>
            </w:r>
            <w:r w:rsidRPr="00A12E40">
              <w:rPr>
                <w:rFonts w:ascii="宋体" w:eastAsia="宋体" w:hAnsi="宋体" w:cs="宋体" w:hint="eastAsia"/>
                <w:color w:val="000000"/>
                <w:kern w:val="0"/>
                <w:sz w:val="24"/>
                <w14:ligatures w14:val="none"/>
              </w:rPr>
              <w:t>约</w:t>
            </w:r>
            <w:r w:rsidRPr="00A12E40">
              <w:rPr>
                <w:rFonts w:ascii="Times New Roman" w:eastAsia="宋体" w:hAnsi="Times New Roman" w:cs="Times New Roman"/>
                <w:color w:val="000000"/>
                <w:kern w:val="0"/>
                <w:sz w:val="24"/>
                <w14:ligatures w14:val="none"/>
              </w:rPr>
              <w:t>97.4%</w:t>
            </w:r>
            <w:r w:rsidRPr="00A12E40">
              <w:rPr>
                <w:rFonts w:ascii="宋体" w:eastAsia="宋体" w:hAnsi="宋体" w:cs="宋体" w:hint="eastAsia"/>
                <w:color w:val="000000"/>
                <w:kern w:val="0"/>
                <w:sz w:val="24"/>
                <w14:ligatures w14:val="none"/>
              </w:rPr>
              <w:t>、自动化程度高，减少人工巡检等</w:t>
            </w:r>
          </w:p>
        </w:tc>
        <w:tc>
          <w:tcPr>
            <w:tcW w:w="0" w:type="auto"/>
            <w:tcBorders>
              <w:top w:val="nil"/>
              <w:left w:val="nil"/>
              <w:bottom w:val="single" w:sz="8" w:space="0" w:color="auto"/>
              <w:right w:val="single" w:sz="8" w:space="0" w:color="auto"/>
            </w:tcBorders>
            <w:vAlign w:val="center"/>
            <w:hideMark/>
          </w:tcPr>
          <w:p w14:paraId="5AD4E486" w14:textId="77777777" w:rsidR="00A12E40" w:rsidRPr="00A12E40" w:rsidRDefault="00A12E40" w:rsidP="00A12E40">
            <w:pPr>
              <w:widowControl/>
              <w:spacing w:after="0" w:line="240" w:lineRule="auto"/>
              <w:jc w:val="center"/>
              <w:rPr>
                <w:rFonts w:ascii="等线" w:eastAsia="等线" w:hAnsi="等线" w:cs="宋体" w:hint="eastAsia"/>
                <w:color w:val="0563C1"/>
                <w:kern w:val="0"/>
                <w:szCs w:val="22"/>
                <w:u w:val="single"/>
                <w14:ligatures w14:val="none"/>
              </w:rPr>
            </w:pPr>
            <w:hyperlink r:id="rId18" w:history="1">
              <w:r w:rsidRPr="00A12E40">
                <w:rPr>
                  <w:rFonts w:ascii="等线" w:eastAsia="等线" w:hAnsi="等线" w:cs="宋体" w:hint="eastAsia"/>
                  <w:color w:val="0563C1"/>
                  <w:kern w:val="0"/>
                  <w:szCs w:val="22"/>
                  <w:u w:val="single"/>
                  <w14:ligatures w14:val="none"/>
                </w:rPr>
                <w:t>https://</w:t>
              </w:r>
              <w:proofErr w:type="spellStart"/>
              <w:r w:rsidRPr="00A12E40">
                <w:rPr>
                  <w:rFonts w:ascii="等线" w:eastAsia="等线" w:hAnsi="等线" w:cs="宋体" w:hint="eastAsia"/>
                  <w:color w:val="0563C1"/>
                  <w:kern w:val="0"/>
                  <w:szCs w:val="22"/>
                  <w:u w:val="single"/>
                  <w14:ligatures w14:val="none"/>
                </w:rPr>
                <w:t>doi.org</w:t>
              </w:r>
              <w:proofErr w:type="spellEnd"/>
              <w:r w:rsidRPr="00A12E40">
                <w:rPr>
                  <w:rFonts w:ascii="等线" w:eastAsia="等线" w:hAnsi="等线" w:cs="宋体" w:hint="eastAsia"/>
                  <w:color w:val="0563C1"/>
                  <w:kern w:val="0"/>
                  <w:szCs w:val="22"/>
                  <w:u w:val="single"/>
                  <w14:ligatures w14:val="none"/>
                </w:rPr>
                <w:t>/10.3390/</w:t>
              </w:r>
              <w:proofErr w:type="spellStart"/>
              <w:r w:rsidRPr="00A12E40">
                <w:rPr>
                  <w:rFonts w:ascii="等线" w:eastAsia="等线" w:hAnsi="等线" w:cs="宋体" w:hint="eastAsia"/>
                  <w:color w:val="0563C1"/>
                  <w:kern w:val="0"/>
                  <w:szCs w:val="22"/>
                  <w:u w:val="single"/>
                  <w14:ligatures w14:val="none"/>
                </w:rPr>
                <w:t>computation10080138</w:t>
              </w:r>
              <w:proofErr w:type="spellEnd"/>
            </w:hyperlink>
          </w:p>
        </w:tc>
      </w:tr>
    </w:tbl>
    <w:p w14:paraId="2BA23934" w14:textId="77777777" w:rsidR="00A12E40" w:rsidRPr="00A12E40" w:rsidRDefault="00A12E40" w:rsidP="00583AA0">
      <w:pPr>
        <w:ind w:firstLine="420"/>
        <w:jc w:val="both"/>
        <w:rPr>
          <w:rFonts w:ascii="宋体" w:eastAsia="宋体" w:hAnsi="宋体" w:hint="eastAsia"/>
          <w:sz w:val="24"/>
        </w:rPr>
      </w:pPr>
    </w:p>
    <w:p w14:paraId="506C531E" w14:textId="2F1DD12D" w:rsidR="00960E37" w:rsidRPr="004C748D" w:rsidRDefault="00960E37" w:rsidP="00583AA0">
      <w:pPr>
        <w:jc w:val="both"/>
        <w:rPr>
          <w:rFonts w:ascii="宋体" w:eastAsia="宋体" w:hAnsi="宋体" w:hint="eastAsia"/>
          <w:sz w:val="24"/>
        </w:rPr>
      </w:pPr>
      <w:r w:rsidRPr="004C748D">
        <w:rPr>
          <w:rFonts w:ascii="宋体" w:eastAsia="宋体" w:hAnsi="宋体"/>
          <w:sz w:val="24"/>
        </w:rPr>
        <w:t>3.2.2运筹优化技术应用热点</w:t>
      </w:r>
    </w:p>
    <w:p w14:paraId="1249DFC3" w14:textId="48226621" w:rsidR="00960E37" w:rsidRPr="004C748D" w:rsidRDefault="00960E37" w:rsidP="00583AA0">
      <w:pPr>
        <w:ind w:firstLine="420"/>
        <w:jc w:val="both"/>
        <w:rPr>
          <w:rFonts w:ascii="宋体" w:eastAsia="宋体" w:hAnsi="宋体" w:hint="eastAsia"/>
          <w:sz w:val="24"/>
        </w:rPr>
      </w:pPr>
      <w:r w:rsidRPr="004C748D">
        <w:rPr>
          <w:rFonts w:ascii="宋体" w:eastAsia="宋体" w:hAnsi="宋体"/>
          <w:sz w:val="24"/>
        </w:rPr>
        <w:t>图中右侧绿色集群展现了智能油田开发的第二大研究热点——运筹优化技术的应用。该集群以"model"、"optimization"、"predication"为核心节点，体现了基于数学模型的系统优化思想在油田生产管理中的重要地位。与左侧AI集群相比，运筹优化集群更强调结构化的数学建模和求解算法，追求在给定约束条件下寻找最优或</w:t>
      </w:r>
      <w:proofErr w:type="gramStart"/>
      <w:r w:rsidRPr="004C748D">
        <w:rPr>
          <w:rFonts w:ascii="宋体" w:eastAsia="宋体" w:hAnsi="宋体"/>
          <w:sz w:val="24"/>
        </w:rPr>
        <w:t>近优解</w:t>
      </w:r>
      <w:proofErr w:type="gramEnd"/>
      <w:r w:rsidRPr="004C748D">
        <w:rPr>
          <w:rFonts w:ascii="宋体" w:eastAsia="宋体" w:hAnsi="宋体"/>
          <w:sz w:val="24"/>
        </w:rPr>
        <w:t>。</w:t>
      </w:r>
    </w:p>
    <w:p w14:paraId="441FA0D6" w14:textId="77777777" w:rsidR="00960E37" w:rsidRPr="004C748D" w:rsidRDefault="00960E37" w:rsidP="00583AA0">
      <w:pPr>
        <w:ind w:firstLine="420"/>
        <w:jc w:val="both"/>
        <w:rPr>
          <w:rFonts w:ascii="宋体" w:eastAsia="宋体" w:hAnsi="宋体" w:hint="eastAsia"/>
          <w:sz w:val="24"/>
        </w:rPr>
      </w:pPr>
      <w:r w:rsidRPr="004C748D">
        <w:rPr>
          <w:rFonts w:ascii="宋体" w:eastAsia="宋体" w:hAnsi="宋体"/>
          <w:sz w:val="24"/>
        </w:rPr>
        <w:t>从共被引网络可以看出，"predication"与"optimization"、"model"紧密关联，体现了预测与优化的深度融合。在智能油田开发中，准确的预测是科学决策的前提，而优化则是实现预测目标的手段。两者相互支撑，构成了"预测-优化-执行-反馈"的闭环决策体系。</w:t>
      </w:r>
    </w:p>
    <w:p w14:paraId="128FA1C6" w14:textId="12CD9AA7" w:rsidR="00A245EE" w:rsidRPr="004C748D" w:rsidRDefault="00A245EE" w:rsidP="00583AA0">
      <w:pPr>
        <w:ind w:firstLine="420"/>
        <w:jc w:val="both"/>
        <w:rPr>
          <w:rFonts w:ascii="宋体" w:eastAsia="宋体" w:hAnsi="宋体" w:hint="eastAsia"/>
          <w:sz w:val="24"/>
        </w:rPr>
      </w:pPr>
      <w:r w:rsidRPr="004C748D">
        <w:rPr>
          <w:rFonts w:ascii="宋体" w:eastAsia="宋体" w:hAnsi="宋体" w:hint="eastAsia"/>
          <w:sz w:val="24"/>
        </w:rPr>
        <w:t>结合“智能化”来看</w:t>
      </w:r>
      <w:r w:rsidRPr="004C748D">
        <w:rPr>
          <w:rFonts w:ascii="宋体" w:eastAsia="宋体" w:hAnsi="宋体"/>
          <w:sz w:val="24"/>
        </w:rPr>
        <w:t>，运筹优化集群所体现的“智能化”并非局限于单一模型或算法层面，而是通过云端平台实现跨井、跨区块乃至跨系统的集中决策与调度。在智能油田开发中，生产数据、油藏模型、地面工程约束和经济指标通常被统一汇聚至云端决策平台，由集中式或分布式优化模型对多</w:t>
      </w:r>
      <w:proofErr w:type="gramStart"/>
      <w:r w:rsidRPr="004C748D">
        <w:rPr>
          <w:rFonts w:ascii="宋体" w:eastAsia="宋体" w:hAnsi="宋体"/>
          <w:sz w:val="24"/>
        </w:rPr>
        <w:t>源信息</w:t>
      </w:r>
      <w:proofErr w:type="gramEnd"/>
      <w:r w:rsidRPr="004C748D">
        <w:rPr>
          <w:rFonts w:ascii="宋体" w:eastAsia="宋体" w:hAnsi="宋体"/>
          <w:sz w:val="24"/>
        </w:rPr>
        <w:t>进行综合分析，从而实现对注采结构、产量分配、能耗控制及设备运行状态的全局协同优化</w:t>
      </w:r>
      <w:r w:rsidR="00150587" w:rsidRPr="004C748D">
        <w:rPr>
          <w:rFonts w:ascii="宋体" w:eastAsia="宋体" w:hAnsi="宋体" w:hint="eastAsia"/>
          <w:sz w:val="24"/>
        </w:rPr>
        <w:t>[28]</w:t>
      </w:r>
      <w:r w:rsidRPr="004C748D">
        <w:rPr>
          <w:rFonts w:ascii="宋体" w:eastAsia="宋体" w:hAnsi="宋体"/>
          <w:sz w:val="24"/>
        </w:rPr>
        <w:t>。</w:t>
      </w:r>
    </w:p>
    <w:p w14:paraId="3B84871C" w14:textId="763AB73F" w:rsidR="00B06DEA" w:rsidRPr="004C748D" w:rsidRDefault="00B06DEA" w:rsidP="00583AA0">
      <w:pPr>
        <w:ind w:firstLine="420"/>
        <w:jc w:val="both"/>
        <w:rPr>
          <w:rFonts w:ascii="宋体" w:eastAsia="宋体" w:hAnsi="宋体" w:hint="eastAsia"/>
          <w:sz w:val="24"/>
        </w:rPr>
      </w:pPr>
      <w:r w:rsidRPr="004C748D">
        <w:rPr>
          <w:rFonts w:ascii="宋体" w:eastAsia="宋体" w:hAnsi="宋体"/>
          <w:sz w:val="24"/>
        </w:rPr>
        <w:t>从具体优化方式来看，该类智能运筹优化通常呈现出多算法融合与分层协同的特征。一方面，元启发式算法（如遗传算法、粒子群优化、蚁群算法等）被广泛用于求解高维、非线性、非</w:t>
      </w:r>
      <w:proofErr w:type="gramStart"/>
      <w:r w:rsidRPr="004C748D">
        <w:rPr>
          <w:rFonts w:ascii="宋体" w:eastAsia="宋体" w:hAnsi="宋体"/>
          <w:sz w:val="24"/>
        </w:rPr>
        <w:t>凸</w:t>
      </w:r>
      <w:proofErr w:type="gramEnd"/>
      <w:r w:rsidRPr="004C748D">
        <w:rPr>
          <w:rFonts w:ascii="宋体" w:eastAsia="宋体" w:hAnsi="宋体"/>
          <w:sz w:val="24"/>
        </w:rPr>
        <w:t>且约束复杂的油田生产优化问题，以增强对不确定性和局部最优的规避能力</w:t>
      </w:r>
      <w:r w:rsidRPr="004C748D">
        <w:rPr>
          <w:rFonts w:ascii="宋体" w:eastAsia="宋体" w:hAnsi="宋体" w:hint="eastAsia"/>
          <w:sz w:val="24"/>
        </w:rPr>
        <w:t>[29]</w:t>
      </w:r>
      <w:r w:rsidRPr="004C748D">
        <w:rPr>
          <w:rFonts w:ascii="宋体" w:eastAsia="宋体" w:hAnsi="宋体"/>
          <w:sz w:val="24"/>
        </w:rPr>
        <w:t>；另一方面，强化学习方法通过与油藏–生产系</w:t>
      </w:r>
      <w:r w:rsidRPr="004C748D">
        <w:rPr>
          <w:rFonts w:ascii="宋体" w:eastAsia="宋体" w:hAnsi="宋体"/>
          <w:sz w:val="24"/>
        </w:rPr>
        <w:lastRenderedPageBreak/>
        <w:t>统的持续交互，实现对动态注采策略和长期收益的自适应学习，适用于时序决策和实时调度场景</w:t>
      </w:r>
      <w:r w:rsidRPr="004C748D">
        <w:rPr>
          <w:rFonts w:ascii="宋体" w:eastAsia="宋体" w:hAnsi="宋体" w:hint="eastAsia"/>
          <w:sz w:val="24"/>
        </w:rPr>
        <w:t>[30]</w:t>
      </w:r>
      <w:r w:rsidRPr="004C748D">
        <w:rPr>
          <w:rFonts w:ascii="宋体" w:eastAsia="宋体" w:hAnsi="宋体"/>
          <w:sz w:val="24"/>
        </w:rPr>
        <w:t>。与此同时，基于数学规划的优化求解器建模（如</w:t>
      </w:r>
      <w:proofErr w:type="spellStart"/>
      <w:r w:rsidRPr="004C748D">
        <w:rPr>
          <w:rFonts w:ascii="宋体" w:eastAsia="宋体" w:hAnsi="宋体"/>
          <w:sz w:val="24"/>
        </w:rPr>
        <w:t>Gurobi</w:t>
      </w:r>
      <w:proofErr w:type="spellEnd"/>
      <w:r w:rsidRPr="004C748D">
        <w:rPr>
          <w:rFonts w:ascii="宋体" w:eastAsia="宋体" w:hAnsi="宋体"/>
          <w:sz w:val="24"/>
        </w:rPr>
        <w:t>、</w:t>
      </w:r>
      <w:proofErr w:type="spellStart"/>
      <w:r w:rsidRPr="004C748D">
        <w:rPr>
          <w:rFonts w:ascii="宋体" w:eastAsia="宋体" w:hAnsi="宋体" w:hint="eastAsia"/>
          <w:sz w:val="24"/>
        </w:rPr>
        <w:t>Ortools</w:t>
      </w:r>
      <w:proofErr w:type="spellEnd"/>
      <w:r w:rsidRPr="004C748D">
        <w:rPr>
          <w:rFonts w:ascii="宋体" w:eastAsia="宋体" w:hAnsi="宋体"/>
          <w:sz w:val="24"/>
        </w:rPr>
        <w:t>等）在注采配额分配、管网调度、能耗与经济性权衡等问题中发挥着重要作用，能够在明确约束条件下提供可解释性较强的最优或</w:t>
      </w:r>
      <w:proofErr w:type="gramStart"/>
      <w:r w:rsidRPr="004C748D">
        <w:rPr>
          <w:rFonts w:ascii="宋体" w:eastAsia="宋体" w:hAnsi="宋体"/>
          <w:sz w:val="24"/>
        </w:rPr>
        <w:t>近优解</w:t>
      </w:r>
      <w:proofErr w:type="gramEnd"/>
      <w:r w:rsidRPr="004C748D">
        <w:rPr>
          <w:rFonts w:ascii="宋体" w:eastAsia="宋体" w:hAnsi="宋体"/>
          <w:sz w:val="24"/>
        </w:rPr>
        <w:t>。上述多种优化范式往往在云端平台中以模块化方式协同运行，共同构成面向智能油田的运筹优化集群，实现从“单点优化”向“系统级智能决策”的转变</w:t>
      </w:r>
      <w:r w:rsidRPr="004C748D">
        <w:rPr>
          <w:rFonts w:ascii="宋体" w:eastAsia="宋体" w:hAnsi="宋体" w:hint="eastAsia"/>
          <w:sz w:val="24"/>
        </w:rPr>
        <w:t>，</w:t>
      </w:r>
      <w:r w:rsidR="00ED6667" w:rsidRPr="004C748D">
        <w:rPr>
          <w:rFonts w:ascii="宋体" w:eastAsia="宋体" w:hAnsi="宋体" w:hint="eastAsia"/>
          <w:sz w:val="24"/>
        </w:rPr>
        <w:t>诸多实战</w:t>
      </w:r>
      <w:r w:rsidRPr="004C748D">
        <w:rPr>
          <w:rFonts w:ascii="宋体" w:eastAsia="宋体" w:hAnsi="宋体" w:hint="eastAsia"/>
          <w:sz w:val="24"/>
        </w:rPr>
        <w:t>如</w:t>
      </w:r>
      <w:r w:rsidRPr="004C748D">
        <w:rPr>
          <w:rFonts w:ascii="宋体" w:eastAsia="宋体" w:hAnsi="宋体"/>
          <w:sz w:val="24"/>
        </w:rPr>
        <w:t>长庆油田与华为合作</w:t>
      </w:r>
      <w:r w:rsidRPr="004C748D">
        <w:rPr>
          <w:rFonts w:ascii="宋体" w:eastAsia="宋体" w:hAnsi="宋体" w:hint="eastAsia"/>
          <w:sz w:val="24"/>
        </w:rPr>
        <w:t>的</w:t>
      </w:r>
      <w:r w:rsidRPr="004C748D">
        <w:rPr>
          <w:rFonts w:ascii="宋体" w:eastAsia="宋体" w:hAnsi="宋体"/>
          <w:sz w:val="24"/>
        </w:rPr>
        <w:t>“模型与数据驱动”</w:t>
      </w:r>
      <w:r w:rsidRPr="004C748D">
        <w:rPr>
          <w:rFonts w:ascii="宋体" w:eastAsia="宋体" w:hAnsi="宋体" w:hint="eastAsia"/>
          <w:sz w:val="24"/>
        </w:rPr>
        <w:t>的</w:t>
      </w:r>
      <w:r w:rsidRPr="004C748D">
        <w:rPr>
          <w:rFonts w:ascii="宋体" w:eastAsia="宋体" w:hAnsi="宋体"/>
          <w:sz w:val="24"/>
        </w:rPr>
        <w:t>智能油田</w:t>
      </w:r>
      <w:r w:rsidRPr="004C748D">
        <w:rPr>
          <w:rFonts w:ascii="宋体" w:eastAsia="宋体" w:hAnsi="宋体" w:hint="eastAsia"/>
          <w:sz w:val="24"/>
        </w:rPr>
        <w:t>、</w:t>
      </w:r>
      <w:r w:rsidRPr="004C748D">
        <w:rPr>
          <w:rFonts w:ascii="宋体" w:eastAsia="宋体" w:hAnsi="宋体"/>
          <w:sz w:val="24"/>
        </w:rPr>
        <w:t>AVEVA的混合运营数据平台</w:t>
      </w:r>
      <w:r w:rsidRPr="004C748D">
        <w:rPr>
          <w:rFonts w:ascii="宋体" w:eastAsia="宋体" w:hAnsi="宋体" w:hint="eastAsia"/>
          <w:sz w:val="24"/>
        </w:rPr>
        <w:t>、Oracle的“</w:t>
      </w:r>
      <w:r w:rsidRPr="004C748D">
        <w:rPr>
          <w:rFonts w:ascii="宋体" w:eastAsia="宋体" w:hAnsi="宋体"/>
          <w:sz w:val="24"/>
        </w:rPr>
        <w:t>NetSuite for Oil and Gas</w:t>
      </w:r>
      <w:r w:rsidRPr="004C748D">
        <w:rPr>
          <w:rFonts w:ascii="宋体" w:eastAsia="宋体" w:hAnsi="宋体" w:hint="eastAsia"/>
          <w:sz w:val="24"/>
        </w:rPr>
        <w:t>”项目平台</w:t>
      </w:r>
      <w:r w:rsidRPr="004C748D">
        <w:rPr>
          <w:rFonts w:ascii="宋体" w:eastAsia="宋体" w:hAnsi="宋体"/>
          <w:sz w:val="24"/>
        </w:rPr>
        <w:t>。</w:t>
      </w:r>
    </w:p>
    <w:p w14:paraId="25E0A4F3" w14:textId="1DB04B73" w:rsidR="00960E37" w:rsidRPr="004C748D" w:rsidRDefault="00960E37" w:rsidP="00583AA0">
      <w:pPr>
        <w:jc w:val="both"/>
        <w:rPr>
          <w:rFonts w:ascii="宋体" w:eastAsia="宋体" w:hAnsi="宋体" w:hint="eastAsia"/>
          <w:sz w:val="24"/>
        </w:rPr>
      </w:pPr>
      <w:r w:rsidRPr="004C748D">
        <w:rPr>
          <w:rFonts w:ascii="宋体" w:eastAsia="宋体" w:hAnsi="宋体"/>
          <w:sz w:val="24"/>
        </w:rPr>
        <w:t>3.2.3</w:t>
      </w:r>
      <w:r w:rsidR="00745EFE" w:rsidRPr="004C748D">
        <w:rPr>
          <w:rFonts w:ascii="宋体" w:eastAsia="宋体" w:hAnsi="宋体" w:hint="eastAsia"/>
          <w:sz w:val="24"/>
        </w:rPr>
        <w:t>深度强化学习会是下一个风向吗？</w:t>
      </w:r>
    </w:p>
    <w:p w14:paraId="5A16BB6A" w14:textId="00D798C7" w:rsidR="009E54C8" w:rsidRDefault="009E54C8" w:rsidP="00583AA0">
      <w:pPr>
        <w:ind w:firstLine="420"/>
        <w:jc w:val="both"/>
        <w:rPr>
          <w:rFonts w:ascii="宋体" w:eastAsia="宋体" w:hAnsi="宋体" w:hint="eastAsia"/>
          <w:sz w:val="24"/>
        </w:rPr>
      </w:pPr>
      <w:r w:rsidRPr="004C748D">
        <w:rPr>
          <w:rFonts w:ascii="宋体" w:eastAsia="宋体" w:hAnsi="宋体"/>
          <w:sz w:val="24"/>
        </w:rPr>
        <w:t xml:space="preserve">深度强化学习（Deep Reinforcement </w:t>
      </w:r>
      <w:proofErr w:type="spellStart"/>
      <w:r w:rsidRPr="004C748D">
        <w:rPr>
          <w:rFonts w:ascii="宋体" w:eastAsia="宋体" w:hAnsi="宋体"/>
          <w:sz w:val="24"/>
        </w:rPr>
        <w:t>Learning,DRL</w:t>
      </w:r>
      <w:proofErr w:type="spellEnd"/>
      <w:r w:rsidRPr="004C748D">
        <w:rPr>
          <w:rFonts w:ascii="宋体" w:eastAsia="宋体" w:hAnsi="宋体"/>
          <w:sz w:val="24"/>
        </w:rPr>
        <w:t>）作为人工智能的一个重要分支，将深度神经网络与强化学习相结合，通过代理（agent）在环境中不断试</w:t>
      </w:r>
      <w:proofErr w:type="gramStart"/>
      <w:r w:rsidRPr="004C748D">
        <w:rPr>
          <w:rFonts w:ascii="宋体" w:eastAsia="宋体" w:hAnsi="宋体"/>
          <w:sz w:val="24"/>
        </w:rPr>
        <w:t>错学习</w:t>
      </w:r>
      <w:proofErr w:type="gramEnd"/>
      <w:r w:rsidRPr="004C748D">
        <w:rPr>
          <w:rFonts w:ascii="宋体" w:eastAsia="宋体" w:hAnsi="宋体"/>
          <w:sz w:val="24"/>
        </w:rPr>
        <w:t>最优策略，已在游戏、机器人控制等领域取得突破性进展。在油田智能开发领域，DRL的潜在应用主要体现在处理动态、复杂且不确定性的决策问题上，例如注采方案优化、钻井路径规划、设备调度和资源分配等。与传统的运筹优化方法不同，DRL不依赖于明确的数学模型，而是通过模拟环境交互学习，能够适应实时变化的油藏条件和运营约束，实现长期价值最大化</w:t>
      </w:r>
      <w:r w:rsidR="00D764D6">
        <w:rPr>
          <w:rFonts w:ascii="宋体" w:eastAsia="宋体" w:hAnsi="宋体" w:hint="eastAsia"/>
          <w:sz w:val="24"/>
        </w:rPr>
        <w:t>和</w:t>
      </w:r>
      <w:r w:rsidR="00D764D6" w:rsidRPr="00D764D6">
        <w:rPr>
          <w:rFonts w:ascii="宋体" w:eastAsia="宋体" w:hAnsi="宋体"/>
          <w:sz w:val="24"/>
        </w:rPr>
        <w:t>闭环的自主协同</w:t>
      </w:r>
      <w:r w:rsidR="00A770A7">
        <w:rPr>
          <w:rFonts w:ascii="宋体" w:eastAsia="宋体" w:hAnsi="宋体" w:hint="eastAsia"/>
          <w:sz w:val="24"/>
        </w:rPr>
        <w:t>（如图8）</w:t>
      </w:r>
      <w:r w:rsidR="00D764D6">
        <w:rPr>
          <w:rFonts w:ascii="宋体" w:eastAsia="宋体" w:hAnsi="宋体" w:hint="eastAsia"/>
          <w:sz w:val="24"/>
        </w:rPr>
        <w:t>。</w:t>
      </w:r>
    </w:p>
    <w:p w14:paraId="58FE21C7" w14:textId="34C4B7C5" w:rsidR="00D764D6" w:rsidRPr="00D764D6" w:rsidRDefault="00D764D6" w:rsidP="003B1E84">
      <w:pPr>
        <w:jc w:val="center"/>
        <w:rPr>
          <w:rFonts w:ascii="宋体" w:eastAsia="宋体" w:hAnsi="宋体" w:hint="eastAsia"/>
          <w:sz w:val="24"/>
        </w:rPr>
      </w:pPr>
      <w:r>
        <w:rPr>
          <w:noProof/>
        </w:rPr>
        <w:drawing>
          <wp:inline distT="0" distB="0" distL="0" distR="0" wp14:anchorId="31373907" wp14:editId="13861107">
            <wp:extent cx="5274310" cy="3013075"/>
            <wp:effectExtent l="0" t="0" r="2540" b="0"/>
            <wp:docPr id="18378010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013075"/>
                    </a:xfrm>
                    <a:prstGeom prst="rect">
                      <a:avLst/>
                    </a:prstGeom>
                    <a:noFill/>
                    <a:ln>
                      <a:noFill/>
                    </a:ln>
                  </pic:spPr>
                </pic:pic>
              </a:graphicData>
            </a:graphic>
          </wp:inline>
        </w:drawing>
      </w:r>
    </w:p>
    <w:p w14:paraId="146A7F64" w14:textId="397358DB" w:rsidR="00DB4791" w:rsidRPr="004C748D" w:rsidRDefault="00D764D6" w:rsidP="00A770A7">
      <w:pPr>
        <w:ind w:firstLine="420"/>
        <w:jc w:val="center"/>
        <w:rPr>
          <w:rFonts w:ascii="宋体" w:eastAsia="宋体" w:hAnsi="宋体" w:hint="eastAsia"/>
          <w:sz w:val="24"/>
        </w:rPr>
      </w:pPr>
      <w:r>
        <w:rPr>
          <w:rFonts w:hint="eastAsia"/>
          <w:noProof/>
        </w:rPr>
        <w:t>图8：</w:t>
      </w:r>
      <w:r w:rsidR="00A770A7">
        <w:rPr>
          <w:rFonts w:hint="eastAsia"/>
          <w:noProof/>
        </w:rPr>
        <w:t>双核驱动与</w:t>
      </w:r>
      <w:r w:rsidR="00A770A7" w:rsidRPr="00D764D6">
        <w:rPr>
          <w:rFonts w:ascii="宋体" w:eastAsia="宋体" w:hAnsi="宋体"/>
          <w:sz w:val="24"/>
        </w:rPr>
        <w:t>自主协同</w:t>
      </w:r>
      <w:r w:rsidR="00A770A7">
        <w:rPr>
          <w:rFonts w:ascii="宋体" w:eastAsia="宋体" w:hAnsi="宋体" w:hint="eastAsia"/>
          <w:sz w:val="24"/>
        </w:rPr>
        <w:t>的DRL模型</w:t>
      </w:r>
    </w:p>
    <w:p w14:paraId="3520BE28" w14:textId="644BFF80" w:rsidR="009E54C8" w:rsidRPr="004C748D" w:rsidRDefault="009E54C8" w:rsidP="00583AA0">
      <w:pPr>
        <w:ind w:firstLine="420"/>
        <w:jc w:val="both"/>
        <w:rPr>
          <w:rFonts w:ascii="宋体" w:eastAsia="宋体" w:hAnsi="宋体" w:hint="eastAsia"/>
          <w:sz w:val="24"/>
        </w:rPr>
      </w:pPr>
      <w:r w:rsidRPr="004C748D">
        <w:rPr>
          <w:rFonts w:ascii="宋体" w:eastAsia="宋体" w:hAnsi="宋体"/>
          <w:sz w:val="24"/>
        </w:rPr>
        <w:t>当前研究表明，DRL在油田开发中的应用正处于快速发展阶段。例如，在地下两相流动的</w:t>
      </w:r>
      <w:proofErr w:type="gramStart"/>
      <w:r w:rsidRPr="004C748D">
        <w:rPr>
          <w:rFonts w:ascii="宋体" w:eastAsia="宋体" w:hAnsi="宋体"/>
          <w:sz w:val="24"/>
        </w:rPr>
        <w:t>约束场</w:t>
      </w:r>
      <w:proofErr w:type="gramEnd"/>
      <w:r w:rsidRPr="004C748D">
        <w:rPr>
          <w:rFonts w:ascii="宋体" w:eastAsia="宋体" w:hAnsi="宋体"/>
          <w:sz w:val="24"/>
        </w:rPr>
        <w:t>开发优化中，DRL代理可以通过数百万次流体模拟训练，提供即时优化的开发计划，显著优于传统模式识别代理</w:t>
      </w:r>
      <w:r w:rsidR="00AC5729" w:rsidRPr="004C748D">
        <w:rPr>
          <w:rFonts w:ascii="宋体" w:eastAsia="宋体" w:hAnsi="宋体" w:hint="eastAsia"/>
          <w:sz w:val="24"/>
        </w:rPr>
        <w:t>[31]</w:t>
      </w:r>
      <w:r w:rsidRPr="004C748D">
        <w:rPr>
          <w:rFonts w:ascii="宋体" w:eastAsia="宋体" w:hAnsi="宋体"/>
          <w:sz w:val="24"/>
        </w:rPr>
        <w:t>。此外，DRL已被用于</w:t>
      </w:r>
      <w:proofErr w:type="gramStart"/>
      <w:r w:rsidRPr="004C748D">
        <w:rPr>
          <w:rFonts w:ascii="宋体" w:eastAsia="宋体" w:hAnsi="宋体"/>
          <w:sz w:val="24"/>
        </w:rPr>
        <w:lastRenderedPageBreak/>
        <w:t>泛化场</w:t>
      </w:r>
      <w:proofErr w:type="gramEnd"/>
      <w:r w:rsidRPr="004C748D">
        <w:rPr>
          <w:rFonts w:ascii="宋体" w:eastAsia="宋体" w:hAnsi="宋体"/>
          <w:sz w:val="24"/>
        </w:rPr>
        <w:t>开发优化，能够处理不同储层描述、操作约束和经济条件下的场景，减少计算成本并提升决策效率。这些应用不仅提高了采收率，还降低了操作风险，尤其适用于高温高压的“三高”油田</w:t>
      </w:r>
      <w:r w:rsidR="00AC5729" w:rsidRPr="004C748D">
        <w:rPr>
          <w:rFonts w:ascii="宋体" w:eastAsia="宋体" w:hAnsi="宋体" w:hint="eastAsia"/>
          <w:sz w:val="24"/>
        </w:rPr>
        <w:t>[3</w:t>
      </w:r>
      <w:r w:rsidR="001924ED" w:rsidRPr="004C748D">
        <w:rPr>
          <w:rFonts w:ascii="宋体" w:eastAsia="宋体" w:hAnsi="宋体" w:hint="eastAsia"/>
          <w:sz w:val="24"/>
        </w:rPr>
        <w:t>2</w:t>
      </w:r>
      <w:r w:rsidR="00AC5729" w:rsidRPr="004C748D">
        <w:rPr>
          <w:rFonts w:ascii="宋体" w:eastAsia="宋体" w:hAnsi="宋体" w:hint="eastAsia"/>
          <w:sz w:val="24"/>
        </w:rPr>
        <w:t>]</w:t>
      </w:r>
      <w:r w:rsidRPr="004C748D">
        <w:rPr>
          <w:rFonts w:ascii="宋体" w:eastAsia="宋体" w:hAnsi="宋体"/>
          <w:sz w:val="24"/>
        </w:rPr>
        <w:t>。</w:t>
      </w:r>
    </w:p>
    <w:p w14:paraId="6507DE99" w14:textId="77777777" w:rsidR="00DC5AAB" w:rsidRDefault="00722B41" w:rsidP="00DC5AAB">
      <w:pPr>
        <w:spacing w:line="300" w:lineRule="auto"/>
        <w:ind w:firstLine="420"/>
        <w:rPr>
          <w:rFonts w:ascii="宋体" w:eastAsia="宋体" w:hAnsi="宋体" w:hint="eastAsia"/>
          <w:sz w:val="24"/>
        </w:rPr>
      </w:pPr>
      <w:r w:rsidRPr="004C748D">
        <w:rPr>
          <w:rFonts w:ascii="宋体" w:eastAsia="宋体" w:hAnsi="宋体"/>
          <w:sz w:val="24"/>
        </w:rPr>
        <w:t>尽管现有研究结果显示出深度强化学习在油田智能开发中的显著潜力，其大规模工程化应用仍面临若干关键挑战。一方面，DRL方法通常依赖高保真数值模拟或数字孪生环境进行离线训练，训练成本高、样本效率低，且模型性能对模拟精度具有较强依赖性</w:t>
      </w:r>
      <w:r w:rsidRPr="004C748D">
        <w:rPr>
          <w:rFonts w:ascii="宋体" w:eastAsia="宋体" w:hAnsi="宋体" w:hint="eastAsia"/>
          <w:sz w:val="24"/>
        </w:rPr>
        <w:t>[33]</w:t>
      </w:r>
      <w:r w:rsidRPr="004C748D">
        <w:rPr>
          <w:rFonts w:ascii="宋体" w:eastAsia="宋体" w:hAnsi="宋体"/>
          <w:sz w:val="24"/>
        </w:rPr>
        <w:t>；另一方面，策略网络的可解释性和稳定性仍不足，在安全性要求极高的油气生产场景中，完全自主决策尚需谨慎验证</w:t>
      </w:r>
      <w:r w:rsidRPr="004C748D">
        <w:rPr>
          <w:rFonts w:ascii="宋体" w:eastAsia="宋体" w:hAnsi="宋体" w:hint="eastAsia"/>
          <w:sz w:val="24"/>
        </w:rPr>
        <w:t>[34]</w:t>
      </w:r>
      <w:r w:rsidRPr="004C748D">
        <w:rPr>
          <w:rFonts w:ascii="宋体" w:eastAsia="宋体" w:hAnsi="宋体"/>
          <w:sz w:val="24"/>
        </w:rPr>
        <w:t>。此外，实际油田往往存在多尺度耦合、多物理场交互以及突发工况等复杂因素，这对DRL在真实环境中的泛化能力和鲁棒性提出了更高要求。</w:t>
      </w:r>
    </w:p>
    <w:p w14:paraId="405274E4" w14:textId="77777777" w:rsidR="007875A0" w:rsidRDefault="007875A0" w:rsidP="00583AA0">
      <w:pPr>
        <w:ind w:firstLine="420"/>
        <w:jc w:val="both"/>
        <w:rPr>
          <w:rFonts w:ascii="Times New Roman" w:eastAsia="宋体" w:hAnsi="Times New Roman" w:cs="Times New Roman"/>
          <w:color w:val="0000FF"/>
          <w:sz w:val="24"/>
        </w:rPr>
      </w:pPr>
      <w:r w:rsidRPr="007875A0">
        <w:rPr>
          <w:rFonts w:ascii="Times New Roman" w:eastAsia="宋体" w:hAnsi="Times New Roman" w:cs="Times New Roman"/>
          <w:color w:val="0000FF"/>
          <w:sz w:val="24"/>
        </w:rPr>
        <w:t>进一步来看，尽管深度强化学习智能体在经历数百万次流体模拟后能够展现出优异的开发方案优化能力，但这一训练过程往往伴随着显著的计算开销和较高的硬件基础设施需求。在工程实践中，该计算负荷的规模通常取决于具体任务的复杂程度与油藏规模。对于超大规模、高非线性的复杂油气藏问题，计算需求可能呈</w:t>
      </w:r>
      <w:proofErr w:type="gramStart"/>
      <w:r w:rsidRPr="007875A0">
        <w:rPr>
          <w:rFonts w:ascii="Times New Roman" w:eastAsia="宋体" w:hAnsi="Times New Roman" w:cs="Times New Roman"/>
          <w:color w:val="0000FF"/>
          <w:sz w:val="24"/>
        </w:rPr>
        <w:t>指数级</w:t>
      </w:r>
      <w:proofErr w:type="gramEnd"/>
      <w:r w:rsidRPr="007875A0">
        <w:rPr>
          <w:rFonts w:ascii="Times New Roman" w:eastAsia="宋体" w:hAnsi="Times New Roman" w:cs="Times New Roman"/>
          <w:color w:val="0000FF"/>
          <w:sz w:val="24"/>
        </w:rPr>
        <w:t>增长，通常需要依赖高性能计算集群（</w:t>
      </w:r>
      <w:proofErr w:type="spellStart"/>
      <w:r w:rsidRPr="007875A0">
        <w:rPr>
          <w:rFonts w:ascii="Times New Roman" w:eastAsia="宋体" w:hAnsi="Times New Roman" w:cs="Times New Roman"/>
          <w:color w:val="0000FF"/>
          <w:sz w:val="24"/>
        </w:rPr>
        <w:t>HPC</w:t>
      </w:r>
      <w:proofErr w:type="spellEnd"/>
      <w:r w:rsidRPr="007875A0">
        <w:rPr>
          <w:rFonts w:ascii="Times New Roman" w:eastAsia="宋体" w:hAnsi="Times New Roman" w:cs="Times New Roman"/>
          <w:color w:val="0000FF"/>
          <w:sz w:val="24"/>
        </w:rPr>
        <w:t>）或</w:t>
      </w:r>
      <w:proofErr w:type="gramStart"/>
      <w:r w:rsidRPr="007875A0">
        <w:rPr>
          <w:rFonts w:ascii="Times New Roman" w:eastAsia="宋体" w:hAnsi="Times New Roman" w:cs="Times New Roman"/>
          <w:color w:val="0000FF"/>
          <w:sz w:val="24"/>
        </w:rPr>
        <w:t>云计算</w:t>
      </w:r>
      <w:proofErr w:type="gramEnd"/>
      <w:r w:rsidRPr="007875A0">
        <w:rPr>
          <w:rFonts w:ascii="Times New Roman" w:eastAsia="宋体" w:hAnsi="Times New Roman" w:cs="Times New Roman"/>
          <w:color w:val="0000FF"/>
          <w:sz w:val="24"/>
        </w:rPr>
        <w:t>平台的支持；而在中小型成熟油田或简化物理模型场景下，通过引入降阶模型（</w:t>
      </w:r>
      <w:r w:rsidRPr="007875A0">
        <w:rPr>
          <w:rFonts w:ascii="Times New Roman" w:eastAsia="宋体" w:hAnsi="Times New Roman" w:cs="Times New Roman"/>
          <w:color w:val="0000FF"/>
          <w:sz w:val="24"/>
        </w:rPr>
        <w:t>ROM</w:t>
      </w:r>
      <w:r w:rsidRPr="007875A0">
        <w:rPr>
          <w:rFonts w:ascii="Times New Roman" w:eastAsia="宋体" w:hAnsi="Times New Roman" w:cs="Times New Roman"/>
          <w:color w:val="0000FF"/>
          <w:sz w:val="24"/>
        </w:rPr>
        <w:t>）或并行计算策略，则有望在相对可控的硬件成本条件下实现近实时决策。因此，未来智慧油田系统的构建，需要在</w:t>
      </w:r>
      <w:r w:rsidRPr="007875A0">
        <w:rPr>
          <w:rFonts w:ascii="Times New Roman" w:eastAsia="宋体" w:hAnsi="Times New Roman" w:cs="Times New Roman"/>
          <w:color w:val="0000FF"/>
          <w:sz w:val="24"/>
        </w:rPr>
        <w:t>“</w:t>
      </w:r>
      <w:r w:rsidRPr="007875A0">
        <w:rPr>
          <w:rFonts w:ascii="Times New Roman" w:eastAsia="宋体" w:hAnsi="Times New Roman" w:cs="Times New Roman"/>
          <w:color w:val="0000FF"/>
          <w:sz w:val="24"/>
        </w:rPr>
        <w:t>模型精度</w:t>
      </w:r>
      <w:r w:rsidRPr="007875A0">
        <w:rPr>
          <w:rFonts w:ascii="Times New Roman" w:eastAsia="宋体" w:hAnsi="Times New Roman" w:cs="Times New Roman"/>
          <w:color w:val="0000FF"/>
          <w:sz w:val="24"/>
        </w:rPr>
        <w:t>”</w:t>
      </w:r>
      <w:r w:rsidRPr="007875A0">
        <w:rPr>
          <w:rFonts w:ascii="Times New Roman" w:eastAsia="宋体" w:hAnsi="Times New Roman" w:cs="Times New Roman"/>
          <w:color w:val="0000FF"/>
          <w:sz w:val="24"/>
        </w:rPr>
        <w:t>与</w:t>
      </w:r>
      <w:r w:rsidRPr="007875A0">
        <w:rPr>
          <w:rFonts w:ascii="Times New Roman" w:eastAsia="宋体" w:hAnsi="Times New Roman" w:cs="Times New Roman"/>
          <w:color w:val="0000FF"/>
          <w:sz w:val="24"/>
        </w:rPr>
        <w:t>“</w:t>
      </w:r>
      <w:r w:rsidRPr="007875A0">
        <w:rPr>
          <w:rFonts w:ascii="Times New Roman" w:eastAsia="宋体" w:hAnsi="Times New Roman" w:cs="Times New Roman"/>
          <w:color w:val="0000FF"/>
          <w:sz w:val="24"/>
        </w:rPr>
        <w:t>计算可扩展性</w:t>
      </w:r>
      <w:r w:rsidRPr="007875A0">
        <w:rPr>
          <w:rFonts w:ascii="Times New Roman" w:eastAsia="宋体" w:hAnsi="Times New Roman" w:cs="Times New Roman"/>
          <w:color w:val="0000FF"/>
          <w:sz w:val="24"/>
        </w:rPr>
        <w:t>”</w:t>
      </w:r>
      <w:r w:rsidRPr="007875A0">
        <w:rPr>
          <w:rFonts w:ascii="Times New Roman" w:eastAsia="宋体" w:hAnsi="Times New Roman" w:cs="Times New Roman"/>
          <w:color w:val="0000FF"/>
          <w:sz w:val="24"/>
        </w:rPr>
        <w:t>之间取得合理平衡。</w:t>
      </w:r>
    </w:p>
    <w:p w14:paraId="7CFF4382" w14:textId="6E72AC8C" w:rsidR="00722B41" w:rsidRPr="004C748D" w:rsidRDefault="00722B41" w:rsidP="00583AA0">
      <w:pPr>
        <w:ind w:firstLine="420"/>
        <w:jc w:val="both"/>
        <w:rPr>
          <w:rFonts w:ascii="宋体" w:eastAsia="宋体" w:hAnsi="宋体" w:hint="eastAsia"/>
          <w:sz w:val="24"/>
        </w:rPr>
      </w:pPr>
      <w:r w:rsidRPr="004C748D">
        <w:rPr>
          <w:rFonts w:ascii="宋体" w:eastAsia="宋体" w:hAnsi="宋体"/>
          <w:sz w:val="24"/>
        </w:rPr>
        <w:t>值得注意的是，</w:t>
      </w:r>
      <w:proofErr w:type="gramStart"/>
      <w:r w:rsidRPr="004C748D">
        <w:rPr>
          <w:rFonts w:ascii="宋体" w:eastAsia="宋体" w:hAnsi="宋体"/>
          <w:sz w:val="24"/>
        </w:rPr>
        <w:t>随着算力提升</w:t>
      </w:r>
      <w:proofErr w:type="gramEnd"/>
      <w:r w:rsidRPr="004C748D">
        <w:rPr>
          <w:rFonts w:ascii="宋体" w:eastAsia="宋体" w:hAnsi="宋体"/>
          <w:sz w:val="24"/>
        </w:rPr>
        <w:t>、并行模拟技术的发展以及数字</w:t>
      </w:r>
      <w:proofErr w:type="gramStart"/>
      <w:r w:rsidRPr="004C748D">
        <w:rPr>
          <w:rFonts w:ascii="宋体" w:eastAsia="宋体" w:hAnsi="宋体"/>
          <w:sz w:val="24"/>
        </w:rPr>
        <w:t>孪生在</w:t>
      </w:r>
      <w:proofErr w:type="gramEnd"/>
      <w:r w:rsidRPr="004C748D">
        <w:rPr>
          <w:rFonts w:ascii="宋体" w:eastAsia="宋体" w:hAnsi="宋体"/>
          <w:sz w:val="24"/>
        </w:rPr>
        <w:t>油田全生命周期管理中的逐步成熟，DRL的应用边界正在不断拓展。当前研究趋势显示，DRL正逐步与传统运筹优化和元启发式算法形成互补关系，例如将DRL用于高维决策空间的策略学习，再结合粒子群优化、遗传算法等方法对局部</w:t>
      </w:r>
      <w:proofErr w:type="gramStart"/>
      <w:r w:rsidRPr="004C748D">
        <w:rPr>
          <w:rFonts w:ascii="宋体" w:eastAsia="宋体" w:hAnsi="宋体"/>
          <w:sz w:val="24"/>
        </w:rPr>
        <w:t>解进行</w:t>
      </w:r>
      <w:proofErr w:type="gramEnd"/>
      <w:r w:rsidRPr="004C748D">
        <w:rPr>
          <w:rFonts w:ascii="宋体" w:eastAsia="宋体" w:hAnsi="宋体"/>
          <w:sz w:val="24"/>
        </w:rPr>
        <w:t>精细搜索，从而有效应对非</w:t>
      </w:r>
      <w:proofErr w:type="gramStart"/>
      <w:r w:rsidRPr="004C748D">
        <w:rPr>
          <w:rFonts w:ascii="宋体" w:eastAsia="宋体" w:hAnsi="宋体"/>
          <w:sz w:val="24"/>
        </w:rPr>
        <w:t>凸</w:t>
      </w:r>
      <w:proofErr w:type="gramEnd"/>
      <w:r w:rsidRPr="004C748D">
        <w:rPr>
          <w:rFonts w:ascii="宋体" w:eastAsia="宋体" w:hAnsi="宋体"/>
          <w:sz w:val="24"/>
        </w:rPr>
        <w:t>、强约束优化问题</w:t>
      </w:r>
      <w:r w:rsidR="00E14D71" w:rsidRPr="004C748D">
        <w:rPr>
          <w:rFonts w:ascii="宋体" w:eastAsia="宋体" w:hAnsi="宋体" w:hint="eastAsia"/>
          <w:sz w:val="24"/>
        </w:rPr>
        <w:t>[35]</w:t>
      </w:r>
      <w:r w:rsidRPr="004C748D">
        <w:rPr>
          <w:rFonts w:ascii="宋体" w:eastAsia="宋体" w:hAnsi="宋体"/>
          <w:sz w:val="24"/>
        </w:rPr>
        <w:t>。同时，基于数字孪生的闭环架构为DRL提供了可持续更新的训练环境，使其具备在线校正和自适应演化能力</w:t>
      </w:r>
      <w:r w:rsidR="00E14D71" w:rsidRPr="004C748D">
        <w:rPr>
          <w:rFonts w:ascii="宋体" w:eastAsia="宋体" w:hAnsi="宋体" w:hint="eastAsia"/>
          <w:sz w:val="24"/>
        </w:rPr>
        <w:t>[36]</w:t>
      </w:r>
      <w:r w:rsidRPr="004C748D">
        <w:rPr>
          <w:rFonts w:ascii="宋体" w:eastAsia="宋体" w:hAnsi="宋体"/>
          <w:sz w:val="24"/>
        </w:rPr>
        <w:t>。</w:t>
      </w:r>
    </w:p>
    <w:p w14:paraId="67CDD101" w14:textId="6B4C60E6" w:rsidR="00722B41" w:rsidRDefault="00722B41" w:rsidP="00583AA0">
      <w:pPr>
        <w:ind w:firstLine="420"/>
        <w:jc w:val="both"/>
        <w:rPr>
          <w:rFonts w:ascii="宋体" w:eastAsia="宋体" w:hAnsi="宋体" w:hint="eastAsia"/>
          <w:sz w:val="24"/>
        </w:rPr>
      </w:pPr>
      <w:r w:rsidRPr="004C748D">
        <w:rPr>
          <w:rFonts w:ascii="宋体" w:eastAsia="宋体" w:hAnsi="宋体"/>
          <w:sz w:val="24"/>
        </w:rPr>
        <w:t>总体而言，深度强化学习尚难以在短期内完全取代传统油藏工程与优化方法，但其在复杂决策建模、实时优化和跨场景泛化方面展现出独特优势。随着“AI+数字孪生+运筹优化”协同框架的不断完善，DRL有望从辅助决策工具逐步演进为油田智能开发体系中的关键核心技术之一，具备成为下一阶段研究与应用风向的重要潜质。</w:t>
      </w:r>
    </w:p>
    <w:p w14:paraId="3567D9ED" w14:textId="63307B1F" w:rsidR="00B864F8" w:rsidRDefault="00B864F8" w:rsidP="00B864F8">
      <w:pPr>
        <w:rPr>
          <w:rFonts w:ascii="宋体" w:eastAsia="宋体" w:hAnsi="宋体" w:hint="eastAsia"/>
          <w:sz w:val="24"/>
        </w:rPr>
      </w:pPr>
      <w:commentRangeStart w:id="2"/>
      <w:r>
        <w:rPr>
          <w:rFonts w:ascii="宋体" w:eastAsia="宋体" w:hAnsi="宋体" w:hint="eastAsia"/>
          <w:sz w:val="24"/>
        </w:rPr>
        <w:t>3.3</w:t>
      </w:r>
      <w:r w:rsidR="0021403F" w:rsidRPr="0021403F">
        <w:rPr>
          <w:rFonts w:ascii="宋体" w:eastAsia="宋体" w:hAnsi="宋体"/>
          <w:sz w:val="24"/>
        </w:rPr>
        <w:t>智能化背景下的安全风险管理与韧性构建</w:t>
      </w:r>
    </w:p>
    <w:p w14:paraId="7E3726BA" w14:textId="1D7AC606" w:rsidR="00B864F8" w:rsidRPr="00762756" w:rsidRDefault="0021403F" w:rsidP="00762756">
      <w:pPr>
        <w:spacing w:line="300" w:lineRule="auto"/>
        <w:ind w:firstLine="420"/>
        <w:rPr>
          <w:rFonts w:ascii="Times New Roman" w:eastAsia="宋体" w:hAnsi="Times New Roman" w:cs="Times New Roman"/>
          <w:sz w:val="24"/>
        </w:rPr>
      </w:pPr>
      <w:r w:rsidRPr="0021403F">
        <w:rPr>
          <w:rFonts w:ascii="宋体" w:eastAsia="宋体" w:hAnsi="宋体"/>
          <w:sz w:val="24"/>
        </w:rPr>
        <w:t>在油田智能开发向</w:t>
      </w:r>
      <w:proofErr w:type="gramStart"/>
      <w:r w:rsidRPr="0021403F">
        <w:rPr>
          <w:rFonts w:ascii="宋体" w:eastAsia="宋体" w:hAnsi="宋体"/>
          <w:sz w:val="24"/>
        </w:rPr>
        <w:t>全价值</w:t>
      </w:r>
      <w:proofErr w:type="gramEnd"/>
      <w:r w:rsidRPr="0021403F">
        <w:rPr>
          <w:rFonts w:ascii="宋体" w:eastAsia="宋体" w:hAnsi="宋体"/>
          <w:sz w:val="24"/>
        </w:rPr>
        <w:t>链智能化生态系统演进的过程中，安全管理已从传统的现场物理防护扩展为涵盖网络空间安全、模型决策安全与环境合</w:t>
      </w:r>
      <w:proofErr w:type="gramStart"/>
      <w:r w:rsidRPr="0021403F">
        <w:rPr>
          <w:rFonts w:ascii="宋体" w:eastAsia="宋体" w:hAnsi="宋体"/>
          <w:sz w:val="24"/>
        </w:rPr>
        <w:t>规</w:t>
      </w:r>
      <w:proofErr w:type="gramEnd"/>
      <w:r w:rsidRPr="0021403F">
        <w:rPr>
          <w:rFonts w:ascii="宋体" w:eastAsia="宋体" w:hAnsi="宋体"/>
          <w:sz w:val="24"/>
        </w:rPr>
        <w:t>安全的综合体系。由于智能油田高度依赖物联网（IoT）与智能感知技术实现“井筒—地面—管网”的实时监测，这种万物互联的特性显著增加了系统的攻击面</w:t>
      </w:r>
      <w:r w:rsidR="00A12EFA">
        <w:rPr>
          <w:rFonts w:ascii="宋体" w:eastAsia="宋体" w:hAnsi="宋体" w:hint="eastAsia"/>
          <w:sz w:val="24"/>
        </w:rPr>
        <w:t>[37]</w:t>
      </w:r>
      <w:r w:rsidRPr="0021403F">
        <w:rPr>
          <w:rFonts w:ascii="宋体" w:eastAsia="宋体" w:hAnsi="宋体"/>
          <w:sz w:val="24"/>
        </w:rPr>
        <w:t>。一方面，部署在野外及极端工况下的传感器网络面临数据泄露与指令篡</w:t>
      </w:r>
      <w:r w:rsidRPr="0021403F">
        <w:rPr>
          <w:rFonts w:ascii="宋体" w:eastAsia="宋体" w:hAnsi="宋体"/>
          <w:sz w:val="24"/>
        </w:rPr>
        <w:lastRenderedPageBreak/>
        <w:t>改的风险，</w:t>
      </w:r>
      <w:r w:rsidR="00A445F0">
        <w:rPr>
          <w:rFonts w:ascii="宋体" w:eastAsia="宋体" w:hAnsi="宋体" w:hint="eastAsia"/>
          <w:sz w:val="24"/>
        </w:rPr>
        <w:t>例如</w:t>
      </w:r>
      <w:r w:rsidRPr="0021403F">
        <w:rPr>
          <w:rFonts w:ascii="宋体" w:eastAsia="宋体" w:hAnsi="宋体"/>
          <w:sz w:val="24"/>
        </w:rPr>
        <w:t>研究者正探索利用去中心化的区块链技术来确保油田数据传输的完整性与安全性</w:t>
      </w:r>
      <w:r w:rsidR="00A445F0">
        <w:rPr>
          <w:rFonts w:ascii="宋体" w:eastAsia="宋体" w:hAnsi="宋体" w:hint="eastAsia"/>
          <w:sz w:val="24"/>
        </w:rPr>
        <w:t>[38]</w:t>
      </w:r>
      <w:r w:rsidRPr="0021403F">
        <w:rPr>
          <w:rFonts w:ascii="宋体" w:eastAsia="宋体" w:hAnsi="宋体"/>
          <w:sz w:val="24"/>
        </w:rPr>
        <w:t>。另一方面，随着人工智能深度渗透进生产决策，AI模型的鲁棒性与可解释性成为衡量“</w:t>
      </w:r>
      <w:r w:rsidR="00A445F0">
        <w:rPr>
          <w:rFonts w:ascii="宋体" w:eastAsia="宋体" w:hAnsi="宋体" w:hint="eastAsia"/>
          <w:sz w:val="24"/>
        </w:rPr>
        <w:t>p</w:t>
      </w:r>
      <w:r w:rsidRPr="0021403F">
        <w:rPr>
          <w:rFonts w:ascii="宋体" w:eastAsia="宋体" w:hAnsi="宋体"/>
          <w:sz w:val="24"/>
        </w:rPr>
        <w:t>erformance”的核心指标</w:t>
      </w:r>
      <w:r w:rsidR="00A445F0">
        <w:rPr>
          <w:rFonts w:ascii="宋体" w:eastAsia="宋体" w:hAnsi="宋体" w:hint="eastAsia"/>
          <w:sz w:val="24"/>
        </w:rPr>
        <w:t>[39]，</w:t>
      </w:r>
      <w:r w:rsidRPr="0021403F">
        <w:rPr>
          <w:rFonts w:ascii="宋体" w:eastAsia="宋体" w:hAnsi="宋体"/>
          <w:sz w:val="24"/>
        </w:rPr>
        <w:t>特别是在面对高温、高压及高地应力的“三高”极端工况时，AI模型必须具备极强的不确定性量化能力，以防止因数据偏移导致的决策失误造成巨额经济损失或安全事故。</w:t>
      </w:r>
      <w:r w:rsidR="00762756" w:rsidRPr="00762756">
        <w:rPr>
          <w:rFonts w:ascii="Times New Roman" w:eastAsia="宋体" w:hAnsi="Times New Roman" w:cs="Times New Roman" w:hint="eastAsia"/>
          <w:color w:val="0000FF"/>
          <w:sz w:val="24"/>
        </w:rPr>
        <w:t>除此之外，</w:t>
      </w:r>
      <w:r w:rsidR="00762756" w:rsidRPr="00762756">
        <w:rPr>
          <w:rFonts w:ascii="Times New Roman" w:eastAsia="宋体" w:hAnsi="Times New Roman" w:cs="Times New Roman"/>
          <w:color w:val="0000FF"/>
          <w:sz w:val="24"/>
        </w:rPr>
        <w:t>将区块链应用于传感器数据采集虽能保障数据完整性与传输可信，但在极端高温高压环境下，其固有的共识机制与分布式同步会导致显著的响应延迟。这种延迟会破坏实时闭环控制系统所需的毫秒级时效性，在处理高频采样数据时可能引发网络拥塞或决策滞后。因此，当前趋势是结合边缘计算进行本地快速异常识别，以</w:t>
      </w:r>
      <w:proofErr w:type="gramStart"/>
      <w:r w:rsidR="00762756" w:rsidRPr="00762756">
        <w:rPr>
          <w:rFonts w:ascii="Times New Roman" w:eastAsia="宋体" w:hAnsi="Times New Roman" w:cs="Times New Roman"/>
          <w:color w:val="0000FF"/>
          <w:sz w:val="24"/>
        </w:rPr>
        <w:t>缓解区</w:t>
      </w:r>
      <w:proofErr w:type="gramEnd"/>
      <w:r w:rsidR="00762756" w:rsidRPr="00762756">
        <w:rPr>
          <w:rFonts w:ascii="Times New Roman" w:eastAsia="宋体" w:hAnsi="Times New Roman" w:cs="Times New Roman"/>
          <w:color w:val="0000FF"/>
          <w:sz w:val="24"/>
        </w:rPr>
        <w:t>块链带来的计算负荷，确保系统在极端工况下的运行韧性。</w:t>
      </w:r>
      <w:r w:rsidR="00FD782D">
        <w:rPr>
          <w:rFonts w:ascii="宋体" w:eastAsia="宋体" w:hAnsi="宋体" w:hint="eastAsia"/>
          <w:sz w:val="24"/>
        </w:rPr>
        <w:t>更多的主流应用情况</w:t>
      </w:r>
      <w:proofErr w:type="gramStart"/>
      <w:r w:rsidR="00FD782D">
        <w:rPr>
          <w:rFonts w:ascii="宋体" w:eastAsia="宋体" w:hAnsi="宋体" w:hint="eastAsia"/>
          <w:sz w:val="24"/>
        </w:rPr>
        <w:t>见如下</w:t>
      </w:r>
      <w:proofErr w:type="gramEnd"/>
      <w:r w:rsidR="00FD782D">
        <w:rPr>
          <w:rFonts w:ascii="宋体" w:eastAsia="宋体" w:hAnsi="宋体" w:hint="eastAsia"/>
          <w:sz w:val="24"/>
        </w:rPr>
        <w:t>表2。</w:t>
      </w:r>
    </w:p>
    <w:p w14:paraId="3A57C562" w14:textId="305F3EEC" w:rsidR="00FD782D" w:rsidRPr="00FD782D" w:rsidRDefault="00FD782D" w:rsidP="00FD782D">
      <w:pPr>
        <w:ind w:firstLine="420"/>
        <w:jc w:val="center"/>
        <w:rPr>
          <w:rFonts w:ascii="宋体" w:eastAsia="宋体" w:hAnsi="宋体" w:hint="eastAsia"/>
          <w:sz w:val="24"/>
        </w:rPr>
      </w:pPr>
      <w:r w:rsidRPr="00FD782D">
        <w:rPr>
          <w:rFonts w:ascii="宋体" w:eastAsia="宋体" w:hAnsi="宋体"/>
          <w:sz w:val="24"/>
        </w:rPr>
        <w:t>表</w:t>
      </w:r>
      <w:r w:rsidRPr="00FD782D">
        <w:rPr>
          <w:rFonts w:ascii="宋体" w:eastAsia="宋体" w:hAnsi="宋体" w:hint="eastAsia"/>
          <w:sz w:val="24"/>
        </w:rPr>
        <w:t>2</w:t>
      </w:r>
      <w:r w:rsidRPr="00FD782D">
        <w:rPr>
          <w:rFonts w:ascii="宋体" w:eastAsia="宋体" w:hAnsi="宋体"/>
          <w:sz w:val="24"/>
        </w:rPr>
        <w:t>智能油田安全风险管理与系统韧性构建的代表性技术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848"/>
        <w:gridCol w:w="2980"/>
        <w:gridCol w:w="2192"/>
      </w:tblGrid>
      <w:tr w:rsidR="00B85F2B" w:rsidRPr="00FD782D" w14:paraId="19546203" w14:textId="77777777" w:rsidTr="00FD782D">
        <w:trPr>
          <w:jc w:val="center"/>
        </w:trPr>
        <w:tc>
          <w:tcPr>
            <w:tcW w:w="1276" w:type="dxa"/>
            <w:vAlign w:val="center"/>
            <w:hideMark/>
          </w:tcPr>
          <w:p w14:paraId="4953BCF1"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安全风险维度</w:t>
            </w:r>
          </w:p>
        </w:tc>
        <w:tc>
          <w:tcPr>
            <w:tcW w:w="1848" w:type="dxa"/>
            <w:vAlign w:val="center"/>
            <w:hideMark/>
          </w:tcPr>
          <w:p w14:paraId="2C843F7F"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代表技术</w:t>
            </w:r>
          </w:p>
        </w:tc>
        <w:tc>
          <w:tcPr>
            <w:tcW w:w="0" w:type="auto"/>
            <w:vAlign w:val="center"/>
            <w:hideMark/>
          </w:tcPr>
          <w:p w14:paraId="6884ABB9"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主要应用场景</w:t>
            </w:r>
          </w:p>
        </w:tc>
        <w:tc>
          <w:tcPr>
            <w:tcW w:w="0" w:type="auto"/>
            <w:vAlign w:val="center"/>
            <w:hideMark/>
          </w:tcPr>
          <w:p w14:paraId="44BCC813"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风险防控与韧性增强机制</w:t>
            </w:r>
          </w:p>
        </w:tc>
      </w:tr>
      <w:tr w:rsidR="00B85F2B" w:rsidRPr="00FD782D" w14:paraId="1CFAD8D5" w14:textId="77777777" w:rsidTr="00FD782D">
        <w:trPr>
          <w:jc w:val="center"/>
        </w:trPr>
        <w:tc>
          <w:tcPr>
            <w:tcW w:w="1276" w:type="dxa"/>
            <w:vAlign w:val="center"/>
            <w:hideMark/>
          </w:tcPr>
          <w:p w14:paraId="5540D026"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网络空间安全</w:t>
            </w:r>
          </w:p>
        </w:tc>
        <w:tc>
          <w:tcPr>
            <w:tcW w:w="1848" w:type="dxa"/>
            <w:vAlign w:val="center"/>
            <w:hideMark/>
          </w:tcPr>
          <w:p w14:paraId="327E3173"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工业物联网安全架构（Zero Trust、纵深防御）</w:t>
            </w:r>
          </w:p>
        </w:tc>
        <w:tc>
          <w:tcPr>
            <w:tcW w:w="0" w:type="auto"/>
            <w:vAlign w:val="center"/>
            <w:hideMark/>
          </w:tcPr>
          <w:p w14:paraId="2E3BD4FB" w14:textId="47EEFE90"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井场传感器网络、SCADA与云平台通信</w:t>
            </w:r>
            <w:r w:rsidR="00B85F2B">
              <w:rPr>
                <w:rFonts w:ascii="宋体" w:eastAsia="宋体" w:hAnsi="宋体" w:cs="宋体" w:hint="eastAsia"/>
                <w:color w:val="000000"/>
                <w:kern w:val="0"/>
                <w:sz w:val="24"/>
                <w14:ligatures w14:val="none"/>
              </w:rPr>
              <w:t>，如：</w:t>
            </w:r>
            <w:r w:rsidR="00B85F2B" w:rsidRPr="00B85F2B">
              <w:rPr>
                <w:rFonts w:ascii="宋体" w:eastAsia="宋体" w:hAnsi="宋体" w:cs="宋体" w:hint="eastAsia"/>
                <w:color w:val="000000"/>
                <w:kern w:val="0"/>
                <w:sz w:val="24"/>
                <w14:ligatures w14:val="none"/>
              </w:rPr>
              <w:t>沙特阿美</w:t>
            </w:r>
            <w:r w:rsidR="00B85F2B">
              <w:rPr>
                <w:rFonts w:ascii="宋体" w:eastAsia="宋体" w:hAnsi="宋体" w:cs="宋体" w:hint="eastAsia"/>
                <w:color w:val="000000"/>
                <w:kern w:val="0"/>
                <w:sz w:val="24"/>
                <w14:ligatures w14:val="none"/>
              </w:rPr>
              <w:t>的</w:t>
            </w:r>
            <w:r w:rsidR="00B85F2B" w:rsidRPr="00B85F2B">
              <w:rPr>
                <w:rFonts w:ascii="宋体" w:eastAsia="宋体" w:hAnsi="宋体" w:cs="宋体" w:hint="eastAsia"/>
                <w:color w:val="000000"/>
                <w:kern w:val="0"/>
                <w:sz w:val="24"/>
                <w14:ligatures w14:val="none"/>
              </w:rPr>
              <w:t>油田OT网络采用Zero Trust</w:t>
            </w:r>
            <w:r w:rsidR="00B85F2B">
              <w:rPr>
                <w:rFonts w:ascii="宋体" w:eastAsia="宋体" w:hAnsi="宋体" w:cs="宋体" w:hint="eastAsia"/>
                <w:color w:val="000000"/>
                <w:kern w:val="0"/>
                <w:sz w:val="24"/>
                <w14:ligatures w14:val="none"/>
              </w:rPr>
              <w:t xml:space="preserve"> </w:t>
            </w:r>
            <w:r w:rsidR="00B85F2B" w:rsidRPr="00B85F2B">
              <w:rPr>
                <w:rFonts w:ascii="宋体" w:eastAsia="宋体" w:hAnsi="宋体" w:cs="宋体" w:hint="eastAsia"/>
                <w:color w:val="000000"/>
                <w:kern w:val="0"/>
                <w:sz w:val="24"/>
                <w14:ligatures w14:val="none"/>
              </w:rPr>
              <w:t>+</w:t>
            </w:r>
            <w:r w:rsidR="00B85F2B">
              <w:rPr>
                <w:rFonts w:ascii="宋体" w:eastAsia="宋体" w:hAnsi="宋体" w:cs="宋体" w:hint="eastAsia"/>
                <w:color w:val="000000"/>
                <w:kern w:val="0"/>
                <w:sz w:val="24"/>
                <w14:ligatures w14:val="none"/>
              </w:rPr>
              <w:t xml:space="preserve"> </w:t>
            </w:r>
            <w:r w:rsidR="00B85F2B" w:rsidRPr="00B85F2B">
              <w:rPr>
                <w:rFonts w:ascii="宋体" w:eastAsia="宋体" w:hAnsi="宋体" w:cs="宋体" w:hint="eastAsia"/>
                <w:color w:val="000000"/>
                <w:kern w:val="0"/>
                <w:sz w:val="24"/>
                <w14:ligatures w14:val="none"/>
              </w:rPr>
              <w:t>IT/OT分区隔离</w:t>
            </w:r>
          </w:p>
        </w:tc>
        <w:tc>
          <w:tcPr>
            <w:tcW w:w="0" w:type="auto"/>
            <w:vAlign w:val="center"/>
            <w:hideMark/>
          </w:tcPr>
          <w:p w14:paraId="4866709B"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通过分层隔离、身份认证与访问控制，降低大规模入侵与横向渗透风险，提高系统抗攻击能力</w:t>
            </w:r>
          </w:p>
        </w:tc>
      </w:tr>
      <w:tr w:rsidR="00B85F2B" w:rsidRPr="00FD782D" w14:paraId="5FA3965C" w14:textId="77777777" w:rsidTr="00FD782D">
        <w:trPr>
          <w:jc w:val="center"/>
        </w:trPr>
        <w:tc>
          <w:tcPr>
            <w:tcW w:w="1276" w:type="dxa"/>
            <w:vAlign w:val="center"/>
            <w:hideMark/>
          </w:tcPr>
          <w:p w14:paraId="5E5D13C8"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数据与通信安全</w:t>
            </w:r>
          </w:p>
        </w:tc>
        <w:tc>
          <w:tcPr>
            <w:tcW w:w="1848" w:type="dxa"/>
            <w:vAlign w:val="center"/>
            <w:hideMark/>
          </w:tcPr>
          <w:p w14:paraId="33CCC689"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区块链与分布式账本技术</w:t>
            </w:r>
          </w:p>
        </w:tc>
        <w:tc>
          <w:tcPr>
            <w:tcW w:w="0" w:type="auto"/>
            <w:vAlign w:val="center"/>
            <w:hideMark/>
          </w:tcPr>
          <w:p w14:paraId="51E9384E" w14:textId="4926340B"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油田传感器数据采集、生产数据共享</w:t>
            </w:r>
            <w:r w:rsidR="00B85F2B">
              <w:rPr>
                <w:rFonts w:ascii="宋体" w:eastAsia="宋体" w:hAnsi="宋体" w:cs="宋体" w:hint="eastAsia"/>
                <w:color w:val="000000"/>
                <w:kern w:val="0"/>
                <w:sz w:val="24"/>
                <w14:ligatures w14:val="none"/>
              </w:rPr>
              <w:t>[40]</w:t>
            </w:r>
          </w:p>
        </w:tc>
        <w:tc>
          <w:tcPr>
            <w:tcW w:w="0" w:type="auto"/>
            <w:vAlign w:val="center"/>
            <w:hideMark/>
          </w:tcPr>
          <w:p w14:paraId="7B21ED90"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利用去中心化账本和不可篡改特性，保障数据完整性、可追溯性与传输可信性</w:t>
            </w:r>
          </w:p>
        </w:tc>
      </w:tr>
      <w:tr w:rsidR="00B85F2B" w:rsidRPr="00FD782D" w14:paraId="38DB74DB" w14:textId="77777777" w:rsidTr="00FD782D">
        <w:trPr>
          <w:jc w:val="center"/>
        </w:trPr>
        <w:tc>
          <w:tcPr>
            <w:tcW w:w="1276" w:type="dxa"/>
            <w:vAlign w:val="center"/>
            <w:hideMark/>
          </w:tcPr>
          <w:p w14:paraId="21CC3ABD"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设备与边缘安全</w:t>
            </w:r>
          </w:p>
        </w:tc>
        <w:tc>
          <w:tcPr>
            <w:tcW w:w="1848" w:type="dxa"/>
            <w:vAlign w:val="center"/>
            <w:hideMark/>
          </w:tcPr>
          <w:p w14:paraId="32F62D0B"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边缘计算与本地异常检测</w:t>
            </w:r>
          </w:p>
        </w:tc>
        <w:tc>
          <w:tcPr>
            <w:tcW w:w="0" w:type="auto"/>
            <w:vAlign w:val="center"/>
            <w:hideMark/>
          </w:tcPr>
          <w:p w14:paraId="292AC44E" w14:textId="081B114A" w:rsidR="00FD782D" w:rsidRPr="00FD782D" w:rsidRDefault="00FD782D" w:rsidP="002B0A71">
            <w:pPr>
              <w:widowControl/>
              <w:spacing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野外井场、无人值守站点</w:t>
            </w:r>
            <w:r w:rsidR="002B0A71">
              <w:rPr>
                <w:rFonts w:ascii="宋体" w:eastAsia="宋体" w:hAnsi="宋体" w:cs="宋体" w:hint="eastAsia"/>
                <w:color w:val="000000"/>
                <w:kern w:val="0"/>
                <w:sz w:val="24"/>
                <w14:ligatures w14:val="none"/>
              </w:rPr>
              <w:t>，如：</w:t>
            </w:r>
            <w:r w:rsidR="002B0A71" w:rsidRPr="002B0A71">
              <w:rPr>
                <w:rFonts w:ascii="宋体" w:eastAsia="宋体" w:hAnsi="宋体" w:cs="宋体" w:hint="eastAsia"/>
                <w:color w:val="000000"/>
                <w:kern w:val="0"/>
                <w:sz w:val="24"/>
                <w14:ligatures w14:val="none"/>
              </w:rPr>
              <w:t>长庆油田</w:t>
            </w:r>
            <w:r w:rsidR="002B0A71">
              <w:rPr>
                <w:rFonts w:ascii="宋体" w:eastAsia="宋体" w:hAnsi="宋体" w:cs="宋体" w:hint="eastAsia"/>
                <w:color w:val="000000"/>
                <w:kern w:val="0"/>
                <w:sz w:val="24"/>
                <w14:ligatures w14:val="none"/>
              </w:rPr>
              <w:t>联手华为的</w:t>
            </w:r>
            <w:r w:rsidR="002B0A71" w:rsidRPr="002B0A71">
              <w:rPr>
                <w:rFonts w:ascii="宋体" w:eastAsia="宋体" w:hAnsi="宋体" w:cs="宋体" w:hint="eastAsia"/>
                <w:color w:val="000000"/>
                <w:kern w:val="0"/>
                <w:sz w:val="24"/>
                <w14:ligatures w14:val="none"/>
              </w:rPr>
              <w:t>华为智慧井场</w:t>
            </w:r>
          </w:p>
        </w:tc>
        <w:tc>
          <w:tcPr>
            <w:tcW w:w="0" w:type="auto"/>
            <w:vAlign w:val="center"/>
            <w:hideMark/>
          </w:tcPr>
          <w:p w14:paraId="68B9BED9"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在边缘侧进行快速异常识别与本地决策，减少对中心系统依赖，提高极端工况下的运行韧性</w:t>
            </w:r>
          </w:p>
        </w:tc>
      </w:tr>
      <w:tr w:rsidR="00B85F2B" w:rsidRPr="00FD782D" w14:paraId="4D96EC08" w14:textId="77777777" w:rsidTr="00FD782D">
        <w:trPr>
          <w:jc w:val="center"/>
        </w:trPr>
        <w:tc>
          <w:tcPr>
            <w:tcW w:w="1276" w:type="dxa"/>
            <w:vAlign w:val="center"/>
            <w:hideMark/>
          </w:tcPr>
          <w:p w14:paraId="561ED039"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模型决策安全</w:t>
            </w:r>
          </w:p>
        </w:tc>
        <w:tc>
          <w:tcPr>
            <w:tcW w:w="1848" w:type="dxa"/>
            <w:vAlign w:val="center"/>
            <w:hideMark/>
          </w:tcPr>
          <w:p w14:paraId="7726EC4D"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鲁棒优化与不确定性量化（UQ）</w:t>
            </w:r>
          </w:p>
        </w:tc>
        <w:tc>
          <w:tcPr>
            <w:tcW w:w="0" w:type="auto"/>
            <w:vAlign w:val="center"/>
            <w:hideMark/>
          </w:tcPr>
          <w:p w14:paraId="2B443EC2" w14:textId="0CCA04F6"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生产调控、注采优化、风险预警</w:t>
            </w:r>
            <w:r w:rsidR="002B0A71">
              <w:rPr>
                <w:rFonts w:ascii="宋体" w:eastAsia="宋体" w:hAnsi="宋体" w:cs="宋体" w:hint="eastAsia"/>
                <w:color w:val="000000"/>
                <w:kern w:val="0"/>
                <w:sz w:val="24"/>
                <w14:ligatures w14:val="none"/>
              </w:rPr>
              <w:t>[41]</w:t>
            </w:r>
          </w:p>
        </w:tc>
        <w:tc>
          <w:tcPr>
            <w:tcW w:w="0" w:type="auto"/>
            <w:vAlign w:val="center"/>
            <w:hideMark/>
          </w:tcPr>
          <w:p w14:paraId="74286AD2" w14:textId="27B22F44"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通过显式建模数据与环境不确定性，提升AI决策在分布漂移和极端条件下的稳定性</w:t>
            </w:r>
          </w:p>
        </w:tc>
      </w:tr>
      <w:tr w:rsidR="00B85F2B" w:rsidRPr="00FD782D" w14:paraId="49E68152" w14:textId="77777777" w:rsidTr="00FD782D">
        <w:trPr>
          <w:jc w:val="center"/>
        </w:trPr>
        <w:tc>
          <w:tcPr>
            <w:tcW w:w="1276" w:type="dxa"/>
            <w:vAlign w:val="center"/>
            <w:hideMark/>
          </w:tcPr>
          <w:p w14:paraId="31E9BE8E"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模型可解释性</w:t>
            </w:r>
          </w:p>
        </w:tc>
        <w:tc>
          <w:tcPr>
            <w:tcW w:w="1848" w:type="dxa"/>
            <w:vAlign w:val="center"/>
            <w:hideMark/>
          </w:tcPr>
          <w:p w14:paraId="6F402AA5"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可解释人工智能（XAI）</w:t>
            </w:r>
          </w:p>
        </w:tc>
        <w:tc>
          <w:tcPr>
            <w:tcW w:w="0" w:type="auto"/>
            <w:vAlign w:val="center"/>
            <w:hideMark/>
          </w:tcPr>
          <w:p w14:paraId="0BB0ECB6" w14:textId="31768DD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生产决策支持、异常诊断</w:t>
            </w:r>
            <w:r w:rsidR="002B0A71">
              <w:rPr>
                <w:rFonts w:ascii="宋体" w:eastAsia="宋体" w:hAnsi="宋体" w:cs="宋体" w:hint="eastAsia"/>
                <w:color w:val="000000"/>
                <w:kern w:val="0"/>
                <w:sz w:val="24"/>
                <w14:ligatures w14:val="none"/>
              </w:rPr>
              <w:t>[42]</w:t>
            </w:r>
          </w:p>
        </w:tc>
        <w:tc>
          <w:tcPr>
            <w:tcW w:w="0" w:type="auto"/>
            <w:vAlign w:val="center"/>
            <w:hideMark/>
          </w:tcPr>
          <w:p w14:paraId="1D75C3D5"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提高模型决策透明度，增强工程人员对 AI 决策的理解与信任，降低误用风险</w:t>
            </w:r>
          </w:p>
        </w:tc>
      </w:tr>
      <w:tr w:rsidR="00B85F2B" w:rsidRPr="00FD782D" w14:paraId="013BE171" w14:textId="77777777" w:rsidTr="00FD782D">
        <w:trPr>
          <w:jc w:val="center"/>
        </w:trPr>
        <w:tc>
          <w:tcPr>
            <w:tcW w:w="1276" w:type="dxa"/>
            <w:vAlign w:val="center"/>
            <w:hideMark/>
          </w:tcPr>
          <w:p w14:paraId="2AFBF072"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lastRenderedPageBreak/>
              <w:t>系统</w:t>
            </w:r>
            <w:proofErr w:type="gramStart"/>
            <w:r w:rsidRPr="00FD782D">
              <w:rPr>
                <w:rFonts w:ascii="宋体" w:eastAsia="宋体" w:hAnsi="宋体" w:cs="宋体" w:hint="eastAsia"/>
                <w:color w:val="000000"/>
                <w:kern w:val="0"/>
                <w:sz w:val="24"/>
                <w14:ligatures w14:val="none"/>
              </w:rPr>
              <w:t>级风险</w:t>
            </w:r>
            <w:proofErr w:type="gramEnd"/>
            <w:r w:rsidRPr="00FD782D">
              <w:rPr>
                <w:rFonts w:ascii="宋体" w:eastAsia="宋体" w:hAnsi="宋体" w:cs="宋体" w:hint="eastAsia"/>
                <w:color w:val="000000"/>
                <w:kern w:val="0"/>
                <w:sz w:val="24"/>
                <w14:ligatures w14:val="none"/>
              </w:rPr>
              <w:t>预演</w:t>
            </w:r>
          </w:p>
        </w:tc>
        <w:tc>
          <w:tcPr>
            <w:tcW w:w="1848" w:type="dxa"/>
            <w:vAlign w:val="center"/>
            <w:hideMark/>
          </w:tcPr>
          <w:p w14:paraId="1E440E19"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数字</w:t>
            </w:r>
            <w:proofErr w:type="gramStart"/>
            <w:r w:rsidRPr="00FD782D">
              <w:rPr>
                <w:rFonts w:ascii="宋体" w:eastAsia="宋体" w:hAnsi="宋体" w:cs="宋体" w:hint="eastAsia"/>
                <w:color w:val="000000"/>
                <w:kern w:val="0"/>
                <w:sz w:val="24"/>
                <w14:ligatures w14:val="none"/>
              </w:rPr>
              <w:t>孪生与</w:t>
            </w:r>
            <w:proofErr w:type="gramEnd"/>
            <w:r w:rsidRPr="00FD782D">
              <w:rPr>
                <w:rFonts w:ascii="宋体" w:eastAsia="宋体" w:hAnsi="宋体" w:cs="宋体" w:hint="eastAsia"/>
                <w:color w:val="000000"/>
                <w:kern w:val="0"/>
                <w:sz w:val="24"/>
                <w14:ligatures w14:val="none"/>
              </w:rPr>
              <w:t>智能决策融合</w:t>
            </w:r>
          </w:p>
        </w:tc>
        <w:tc>
          <w:tcPr>
            <w:tcW w:w="0" w:type="auto"/>
            <w:vAlign w:val="center"/>
            <w:hideMark/>
          </w:tcPr>
          <w:p w14:paraId="33DD8FE7" w14:textId="79387070"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事故演练、极端工况评估</w:t>
            </w:r>
            <w:r w:rsidR="00701F9C">
              <w:rPr>
                <w:rFonts w:ascii="宋体" w:eastAsia="宋体" w:hAnsi="宋体" w:cs="宋体" w:hint="eastAsia"/>
                <w:color w:val="000000"/>
                <w:kern w:val="0"/>
                <w:sz w:val="24"/>
                <w14:ligatures w14:val="none"/>
              </w:rPr>
              <w:t>，如：</w:t>
            </w:r>
            <w:r w:rsidR="00701F9C" w:rsidRPr="00701F9C">
              <w:rPr>
                <w:rFonts w:ascii="宋体" w:eastAsia="宋体" w:hAnsi="宋体" w:cs="宋体"/>
                <w:color w:val="000000"/>
                <w:kern w:val="0"/>
                <w:sz w:val="24"/>
                <w14:ligatures w14:val="none"/>
              </w:rPr>
              <w:t>IBM</w:t>
            </w:r>
            <w:r w:rsidR="00701F9C">
              <w:rPr>
                <w:rFonts w:ascii="宋体" w:eastAsia="宋体" w:hAnsi="宋体" w:cs="宋体" w:hint="eastAsia"/>
                <w:color w:val="000000"/>
                <w:kern w:val="0"/>
                <w:sz w:val="24"/>
                <w14:ligatures w14:val="none"/>
              </w:rPr>
              <w:t>的</w:t>
            </w:r>
            <w:r w:rsidR="00701F9C" w:rsidRPr="00701F9C">
              <w:rPr>
                <w:rFonts w:ascii="宋体" w:eastAsia="宋体" w:hAnsi="宋体" w:cs="宋体"/>
                <w:color w:val="000000"/>
                <w:kern w:val="0"/>
                <w:sz w:val="24"/>
                <w14:ligatures w14:val="none"/>
              </w:rPr>
              <w:t>Digital Twin for Oil &amp; Gas</w:t>
            </w:r>
            <w:r w:rsidR="00701F9C">
              <w:rPr>
                <w:rFonts w:ascii="宋体" w:eastAsia="宋体" w:hAnsi="宋体" w:cs="宋体" w:hint="eastAsia"/>
                <w:color w:val="000000"/>
                <w:kern w:val="0"/>
                <w:sz w:val="24"/>
                <w14:ligatures w14:val="none"/>
              </w:rPr>
              <w:t>平台</w:t>
            </w:r>
          </w:p>
        </w:tc>
        <w:tc>
          <w:tcPr>
            <w:tcW w:w="0" w:type="auto"/>
            <w:vAlign w:val="center"/>
            <w:hideMark/>
          </w:tcPr>
          <w:p w14:paraId="55E65AF2" w14:textId="6AA0EC6D"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在虚拟环境中进行风险情景推演与策略评估</w:t>
            </w:r>
          </w:p>
        </w:tc>
      </w:tr>
      <w:tr w:rsidR="00B85F2B" w:rsidRPr="00FD782D" w14:paraId="2762D1A8" w14:textId="77777777" w:rsidTr="00FD782D">
        <w:trPr>
          <w:jc w:val="center"/>
        </w:trPr>
        <w:tc>
          <w:tcPr>
            <w:tcW w:w="1276" w:type="dxa"/>
            <w:vAlign w:val="center"/>
            <w:hideMark/>
          </w:tcPr>
          <w:p w14:paraId="71445243"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环境与合</w:t>
            </w:r>
            <w:proofErr w:type="gramStart"/>
            <w:r w:rsidRPr="00FD782D">
              <w:rPr>
                <w:rFonts w:ascii="宋体" w:eastAsia="宋体" w:hAnsi="宋体" w:cs="宋体" w:hint="eastAsia"/>
                <w:color w:val="000000"/>
                <w:kern w:val="0"/>
                <w:sz w:val="24"/>
                <w14:ligatures w14:val="none"/>
              </w:rPr>
              <w:t>规</w:t>
            </w:r>
            <w:proofErr w:type="gramEnd"/>
            <w:r w:rsidRPr="00FD782D">
              <w:rPr>
                <w:rFonts w:ascii="宋体" w:eastAsia="宋体" w:hAnsi="宋体" w:cs="宋体" w:hint="eastAsia"/>
                <w:color w:val="000000"/>
                <w:kern w:val="0"/>
                <w:sz w:val="24"/>
                <w14:ligatures w14:val="none"/>
              </w:rPr>
              <w:t>安全</w:t>
            </w:r>
          </w:p>
        </w:tc>
        <w:tc>
          <w:tcPr>
            <w:tcW w:w="1848" w:type="dxa"/>
            <w:vAlign w:val="center"/>
            <w:hideMark/>
          </w:tcPr>
          <w:p w14:paraId="6514C69B"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多源感知与智能监测</w:t>
            </w:r>
          </w:p>
        </w:tc>
        <w:tc>
          <w:tcPr>
            <w:tcW w:w="0" w:type="auto"/>
            <w:vAlign w:val="center"/>
            <w:hideMark/>
          </w:tcPr>
          <w:p w14:paraId="69140DD6" w14:textId="460CEF4E"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排放监测、井场环境保护</w:t>
            </w:r>
            <w:r w:rsidR="00AB7D68">
              <w:rPr>
                <w:rFonts w:ascii="宋体" w:eastAsia="宋体" w:hAnsi="宋体" w:cs="宋体" w:hint="eastAsia"/>
                <w:color w:val="000000"/>
                <w:kern w:val="0"/>
                <w:sz w:val="24"/>
                <w14:ligatures w14:val="none"/>
              </w:rPr>
              <w:t>，如：</w:t>
            </w:r>
            <w:r w:rsidR="00AB7D68" w:rsidRPr="00AB7D68">
              <w:rPr>
                <w:rFonts w:ascii="宋体" w:eastAsia="宋体" w:hAnsi="宋体" w:cs="宋体"/>
                <w:color w:val="000000"/>
                <w:kern w:val="0"/>
                <w:sz w:val="24"/>
                <w14:ligatures w14:val="none"/>
              </w:rPr>
              <w:t>Honeywell Emissions Management Suite</w:t>
            </w:r>
            <w:r w:rsidR="00AB7D68">
              <w:rPr>
                <w:rFonts w:ascii="宋体" w:eastAsia="宋体" w:hAnsi="宋体" w:cs="宋体" w:hint="eastAsia"/>
                <w:color w:val="000000"/>
                <w:kern w:val="0"/>
                <w:sz w:val="24"/>
                <w14:ligatures w14:val="none"/>
              </w:rPr>
              <w:t>的监测平台</w:t>
            </w:r>
          </w:p>
        </w:tc>
        <w:tc>
          <w:tcPr>
            <w:tcW w:w="0" w:type="auto"/>
            <w:vAlign w:val="center"/>
            <w:hideMark/>
          </w:tcPr>
          <w:p w14:paraId="4163A94D" w14:textId="77777777" w:rsidR="00FD782D" w:rsidRPr="00FD782D" w:rsidRDefault="00FD782D" w:rsidP="00FD782D">
            <w:pPr>
              <w:widowControl/>
              <w:spacing w:after="0" w:line="240" w:lineRule="auto"/>
              <w:jc w:val="center"/>
              <w:rPr>
                <w:rFonts w:ascii="宋体" w:eastAsia="宋体" w:hAnsi="宋体" w:cs="宋体" w:hint="eastAsia"/>
                <w:color w:val="000000"/>
                <w:kern w:val="0"/>
                <w:sz w:val="24"/>
                <w14:ligatures w14:val="none"/>
              </w:rPr>
            </w:pPr>
            <w:r w:rsidRPr="00FD782D">
              <w:rPr>
                <w:rFonts w:ascii="宋体" w:eastAsia="宋体" w:hAnsi="宋体" w:cs="宋体" w:hint="eastAsia"/>
                <w:color w:val="000000"/>
                <w:kern w:val="0"/>
                <w:sz w:val="24"/>
                <w14:ligatures w14:val="none"/>
              </w:rPr>
              <w:t>实时监测环境风险，辅助合</w:t>
            </w:r>
            <w:proofErr w:type="gramStart"/>
            <w:r w:rsidRPr="00FD782D">
              <w:rPr>
                <w:rFonts w:ascii="宋体" w:eastAsia="宋体" w:hAnsi="宋体" w:cs="宋体" w:hint="eastAsia"/>
                <w:color w:val="000000"/>
                <w:kern w:val="0"/>
                <w:sz w:val="24"/>
                <w14:ligatures w14:val="none"/>
              </w:rPr>
              <w:t>规</w:t>
            </w:r>
            <w:proofErr w:type="gramEnd"/>
            <w:r w:rsidRPr="00FD782D">
              <w:rPr>
                <w:rFonts w:ascii="宋体" w:eastAsia="宋体" w:hAnsi="宋体" w:cs="宋体" w:hint="eastAsia"/>
                <w:color w:val="000000"/>
                <w:kern w:val="0"/>
                <w:sz w:val="24"/>
                <w14:ligatures w14:val="none"/>
              </w:rPr>
              <w:t>决策，提升系统对外部约束变化的适应能力</w:t>
            </w:r>
          </w:p>
        </w:tc>
      </w:tr>
    </w:tbl>
    <w:commentRangeEnd w:id="2"/>
    <w:p w14:paraId="01EDA2D3" w14:textId="77777777" w:rsidR="00FD782D" w:rsidRPr="00EB6DC6" w:rsidRDefault="00991EB1" w:rsidP="00FD782D">
      <w:pPr>
        <w:ind w:firstLine="420"/>
        <w:rPr>
          <w:rFonts w:ascii="宋体" w:eastAsia="宋体" w:hAnsi="宋体" w:hint="eastAsia"/>
          <w:b/>
          <w:bCs/>
          <w:sz w:val="24"/>
        </w:rPr>
      </w:pPr>
      <w:r>
        <w:rPr>
          <w:rStyle w:val="af4"/>
        </w:rPr>
        <w:commentReference w:id="2"/>
      </w:r>
    </w:p>
    <w:p w14:paraId="36CF2A22" w14:textId="5EEC8041" w:rsidR="000B40E6" w:rsidRPr="004C748D" w:rsidRDefault="0031361F" w:rsidP="00583AA0">
      <w:pPr>
        <w:jc w:val="both"/>
        <w:rPr>
          <w:rFonts w:ascii="宋体" w:eastAsia="宋体" w:hAnsi="宋体" w:hint="eastAsia"/>
          <w:sz w:val="24"/>
        </w:rPr>
      </w:pPr>
      <w:r w:rsidRPr="004C748D">
        <w:rPr>
          <w:rFonts w:ascii="宋体" w:eastAsia="宋体" w:hAnsi="宋体" w:hint="eastAsia"/>
          <w:sz w:val="24"/>
        </w:rPr>
        <w:t>4.</w:t>
      </w:r>
      <w:r w:rsidRPr="004C748D">
        <w:rPr>
          <w:rFonts w:ascii="宋体" w:eastAsia="宋体" w:hAnsi="宋体"/>
          <w:sz w:val="24"/>
        </w:rPr>
        <w:t>结论与展望</w:t>
      </w:r>
    </w:p>
    <w:p w14:paraId="492DD61D" w14:textId="52348492" w:rsidR="00915CD3" w:rsidRPr="004C748D" w:rsidRDefault="00915CD3" w:rsidP="00583AA0">
      <w:pPr>
        <w:jc w:val="both"/>
        <w:rPr>
          <w:rFonts w:ascii="宋体" w:eastAsia="宋体" w:hAnsi="宋体" w:hint="eastAsia"/>
          <w:sz w:val="24"/>
        </w:rPr>
      </w:pPr>
      <w:bookmarkStart w:id="3" w:name="_Hlk223960548"/>
      <w:r w:rsidRPr="004C748D">
        <w:rPr>
          <w:rFonts w:ascii="宋体" w:eastAsia="宋体" w:hAnsi="宋体"/>
          <w:sz w:val="24"/>
        </w:rPr>
        <w:t>4.1研究总结</w:t>
      </w:r>
    </w:p>
    <w:bookmarkEnd w:id="3"/>
    <w:p w14:paraId="08B937B0" w14:textId="77777777" w:rsidR="00837C3E" w:rsidRDefault="00837C3E" w:rsidP="00583AA0">
      <w:pPr>
        <w:ind w:firstLine="420"/>
        <w:jc w:val="both"/>
        <w:rPr>
          <w:rFonts w:ascii="宋体" w:eastAsia="宋体" w:hAnsi="宋体" w:hint="eastAsia"/>
          <w:sz w:val="24"/>
        </w:rPr>
      </w:pPr>
      <w:r w:rsidRPr="00837C3E">
        <w:rPr>
          <w:rFonts w:ascii="宋体" w:eastAsia="宋体" w:hAnsi="宋体" w:hint="eastAsia"/>
          <w:sz w:val="24"/>
        </w:rPr>
        <w:t>本文基于文献计量分析，系统地回顾了智能油田开发研究的现状和技术热点。结果表明，过去十年智能油田研究呈现显著增长趋势，科研成果主要集中在中国、美国、沙特阿拉伯等主要产油国，反映出资源禀赋与科研投入之间存在很强的相关性。知识结构分析表明，智能油田已形成“人工智能驱动的智能认知”和“运筹学驱动的生产决策”</w:t>
      </w:r>
      <w:proofErr w:type="gramStart"/>
      <w:r w:rsidRPr="00837C3E">
        <w:rPr>
          <w:rFonts w:ascii="宋体" w:eastAsia="宋体" w:hAnsi="宋体" w:hint="eastAsia"/>
          <w:sz w:val="24"/>
        </w:rPr>
        <w:t>双核心研究</w:t>
      </w:r>
      <w:proofErr w:type="gramEnd"/>
      <w:r w:rsidRPr="00837C3E">
        <w:rPr>
          <w:rFonts w:ascii="宋体" w:eastAsia="宋体" w:hAnsi="宋体" w:hint="eastAsia"/>
          <w:sz w:val="24"/>
        </w:rPr>
        <w:t>框架。机器学习和深度学习技术已广泛应用于油藏表征、产量预测、设备状态诊断和提高采收率等领域。同时，运筹学优化方法在注采结构优化、生产调度和经济权衡等方面发挥着关键作用。作为一项新兴技术，深度强化学习在动态决策和复杂优化方面展现出巨大潜力。尽管其工程应用仍面临可解释性和培训成本等挑战，但其发展前景依然光明。此外，计量网络中边缘计算与区块链节点之间链路强度的提升表明，安全防护已从“外部保障”转向“内在架构”。未来，数据完整性、模型鲁棒性和网络安全协议应深度融合，作为实现“双核协作”的必要前提，而非孤立的技术模块。</w:t>
      </w:r>
    </w:p>
    <w:p w14:paraId="196DCE83" w14:textId="419192CA" w:rsidR="00762756" w:rsidRPr="00636D46" w:rsidRDefault="00762756" w:rsidP="00583AA0">
      <w:pPr>
        <w:ind w:firstLine="420"/>
        <w:jc w:val="both"/>
        <w:rPr>
          <w:rFonts w:ascii="宋体" w:eastAsia="宋体" w:hAnsi="宋体" w:hint="eastAsia"/>
          <w:color w:val="0000FF"/>
          <w:sz w:val="24"/>
        </w:rPr>
      </w:pPr>
      <w:r w:rsidRPr="00636D46">
        <w:rPr>
          <w:rFonts w:ascii="宋体" w:eastAsia="宋体" w:hAnsi="宋体"/>
          <w:color w:val="0000FF"/>
          <w:sz w:val="24"/>
        </w:rPr>
        <w:t>本文关注的技术演进方向——例如从描述性模型向自主协作的深度强化学习（DRL）转型，以及区块链赋能的安全架构——已被广泛认为是全球石油工业数字化转型的重要趋势。根据我们的观察，中国（如CNPC、Sinopec）和俄罗斯（如Rosneft）的相关研究同样在这些关键领域持续推进。因此，尽管文献来源在地域上存在一定限制，本文总结的技术路径仍具有较强的行业普适性与前瞻性。</w:t>
      </w:r>
    </w:p>
    <w:p w14:paraId="75B86DE9" w14:textId="43CEB2ED" w:rsidR="00915CD3" w:rsidRPr="004C748D" w:rsidRDefault="00915CD3" w:rsidP="00583AA0">
      <w:pPr>
        <w:jc w:val="both"/>
        <w:rPr>
          <w:rFonts w:ascii="宋体" w:eastAsia="宋体" w:hAnsi="宋体" w:hint="eastAsia"/>
          <w:sz w:val="24"/>
        </w:rPr>
      </w:pPr>
      <w:r w:rsidRPr="004C748D">
        <w:rPr>
          <w:rFonts w:ascii="宋体" w:eastAsia="宋体" w:hAnsi="宋体"/>
          <w:sz w:val="24"/>
        </w:rPr>
        <w:t>4.2研究展望</w:t>
      </w:r>
    </w:p>
    <w:p w14:paraId="490350EE" w14:textId="1F44A8AF" w:rsidR="00CF6923" w:rsidRPr="00CF6923" w:rsidRDefault="00CF6923" w:rsidP="00583AA0">
      <w:pPr>
        <w:ind w:firstLine="420"/>
        <w:jc w:val="both"/>
        <w:rPr>
          <w:rFonts w:ascii="宋体" w:eastAsia="宋体" w:hAnsi="宋体" w:hint="eastAsia"/>
          <w:sz w:val="24"/>
        </w:rPr>
      </w:pPr>
      <w:r w:rsidRPr="00CF6923">
        <w:rPr>
          <w:rFonts w:ascii="宋体" w:eastAsia="宋体" w:hAnsi="宋体"/>
          <w:sz w:val="24"/>
        </w:rPr>
        <w:t>目前油田智能开发还存在一些技术问题需要解决：一是数据孤岛现象严重，不同部门、不同层级的数据难以有效共享和整合，缺乏统一的数据标准和接口规范；二是关键技术的自主创新能力不足，某些核心算法和软件平台仍然依赖进口；三是多源异构数据的融合处理技术尚不成熟，地震、测井、生产等不同类型数据的协同分析能力有待提升；四是模型的泛化能力和鲁棒性不足，在面对复杂多变的油藏条件时，算法的适应性和可靠性仍需增强；五是实时优化与控制技术的工程化应用存在瓶颈，从智能决策到现场执行的闭环反馈机制尚未完全建立</w:t>
      </w:r>
      <w:r w:rsidRPr="00CF6923">
        <w:rPr>
          <w:rFonts w:ascii="宋体" w:eastAsia="宋体" w:hAnsi="宋体" w:hint="eastAsia"/>
          <w:sz w:val="24"/>
        </w:rPr>
        <w:t>。</w:t>
      </w:r>
    </w:p>
    <w:p w14:paraId="591126B1" w14:textId="70FD85CF" w:rsidR="008815F7" w:rsidRDefault="00915CD3" w:rsidP="00583AA0">
      <w:pPr>
        <w:ind w:firstLine="420"/>
        <w:jc w:val="both"/>
        <w:rPr>
          <w:rFonts w:ascii="宋体" w:eastAsia="宋体" w:hAnsi="宋体" w:hint="eastAsia"/>
          <w:sz w:val="24"/>
        </w:rPr>
      </w:pPr>
      <w:r w:rsidRPr="004C748D">
        <w:rPr>
          <w:rFonts w:ascii="宋体" w:eastAsia="宋体" w:hAnsi="宋体"/>
          <w:sz w:val="24"/>
        </w:rPr>
        <w:lastRenderedPageBreak/>
        <w:t>未来智能油田的发展方向主要体现在三方面：一是数据融合与治理，需突破数据孤岛，实现跨系统、跨尺度的高质量数据整合；二是混合建模与智能优化，结合物理模型、数据驱动与运筹优化，提高决策的可解释性与安全性；三是技术协同与闭环应用，深度强化学习、数字</w:t>
      </w:r>
      <w:proofErr w:type="gramStart"/>
      <w:r w:rsidRPr="004C748D">
        <w:rPr>
          <w:rFonts w:ascii="宋体" w:eastAsia="宋体" w:hAnsi="宋体"/>
          <w:sz w:val="24"/>
        </w:rPr>
        <w:t>孪生与</w:t>
      </w:r>
      <w:proofErr w:type="gramEnd"/>
      <w:r w:rsidRPr="004C748D">
        <w:rPr>
          <w:rFonts w:ascii="宋体" w:eastAsia="宋体" w:hAnsi="宋体"/>
          <w:sz w:val="24"/>
        </w:rPr>
        <w:t>云端决策平台的融合将构建动态自适应的智能油田系统，实现预测、优化、执行与反馈闭环。同时，产业应用仍需关注规模化推广、管理体系优化及环境与经济效益的平衡。总体来看，智能油田正从局部智能化向系统智能化迈进，其技术融合和应用深化将成为油气工业高质量发展的重要支撑。</w:t>
      </w:r>
    </w:p>
    <w:p w14:paraId="411E1DBB" w14:textId="4A5AC6AF" w:rsidR="005753D7" w:rsidRDefault="005753D7" w:rsidP="005753D7">
      <w:pPr>
        <w:jc w:val="both"/>
        <w:rPr>
          <w:rFonts w:ascii="宋体" w:eastAsia="宋体" w:hAnsi="宋体" w:hint="eastAsia"/>
          <w:sz w:val="24"/>
        </w:rPr>
      </w:pPr>
      <w:r>
        <w:rPr>
          <w:rFonts w:ascii="宋体" w:eastAsia="宋体" w:hAnsi="宋体" w:hint="eastAsia"/>
          <w:sz w:val="24"/>
        </w:rPr>
        <w:t>参</w:t>
      </w:r>
      <w:commentRangeStart w:id="4"/>
      <w:r>
        <w:rPr>
          <w:rFonts w:ascii="宋体" w:eastAsia="宋体" w:hAnsi="宋体" w:hint="eastAsia"/>
          <w:sz w:val="24"/>
        </w:rPr>
        <w:t>考文献</w:t>
      </w:r>
      <w:r>
        <w:rPr>
          <w:rFonts w:ascii="宋体" w:eastAsia="宋体" w:hAnsi="宋体"/>
          <w:sz w:val="24"/>
        </w:rPr>
        <w:tab/>
      </w:r>
    </w:p>
    <w:p w14:paraId="7F804CCB" w14:textId="77777777" w:rsidR="005753D7" w:rsidRDefault="005753D7" w:rsidP="005753D7">
      <w:pPr>
        <w:rPr>
          <w:rFonts w:hint="eastAsia"/>
        </w:rPr>
      </w:pPr>
      <w:r>
        <w:rPr>
          <w:rFonts w:hint="eastAsia"/>
        </w:rPr>
        <w:t>[1]</w:t>
      </w:r>
      <w:r w:rsidRPr="006326B0">
        <w:rPr>
          <w:rFonts w:hint="eastAsia"/>
        </w:rPr>
        <w:t xml:space="preserve"> </w:t>
      </w:r>
      <w:hyperlink r:id="rId20" w:tgtFrame="_blank" w:tooltip="https://doi.org/10.1360/SSPMA2017-00286" w:history="1">
        <w:r w:rsidRPr="006326B0">
          <w:rPr>
            <w:rStyle w:val="afb"/>
          </w:rPr>
          <w:t>https://doi.org/10.1360/SSPMA2017-00286</w:t>
        </w:r>
      </w:hyperlink>
    </w:p>
    <w:p w14:paraId="780EFC08" w14:textId="77777777" w:rsidR="005753D7" w:rsidRDefault="005753D7" w:rsidP="005753D7">
      <w:pPr>
        <w:rPr>
          <w:rFonts w:hint="eastAsia"/>
        </w:rPr>
      </w:pPr>
      <w:r>
        <w:rPr>
          <w:rFonts w:hint="eastAsia"/>
        </w:rPr>
        <w:t>[2]</w:t>
      </w:r>
      <w:r w:rsidRPr="006326B0">
        <w:rPr>
          <w:rFonts w:hint="eastAsia"/>
        </w:rPr>
        <w:t xml:space="preserve"> </w:t>
      </w:r>
      <w:hyperlink r:id="rId21" w:tgtFrame="_blank" w:tooltip="Persistent link using digital object identifier" w:history="1">
        <w:r w:rsidRPr="006326B0">
          <w:rPr>
            <w:rStyle w:val="afb"/>
          </w:rPr>
          <w:t>https://doi.org/10.1016/j.gsf.2023.101772</w:t>
        </w:r>
      </w:hyperlink>
    </w:p>
    <w:p w14:paraId="71E7BB82" w14:textId="77777777" w:rsidR="005753D7" w:rsidRDefault="005753D7" w:rsidP="005753D7">
      <w:pPr>
        <w:rPr>
          <w:rFonts w:hint="eastAsia"/>
        </w:rPr>
      </w:pPr>
      <w:r>
        <w:rPr>
          <w:rFonts w:hint="eastAsia"/>
        </w:rPr>
        <w:t>[3]</w:t>
      </w:r>
      <w:r w:rsidRPr="00730A7C">
        <w:t xml:space="preserve"> https://doi.org/10.1016/j.techfore.2021.121293</w:t>
      </w:r>
    </w:p>
    <w:p w14:paraId="62116D20" w14:textId="77777777" w:rsidR="005753D7" w:rsidRDefault="005753D7" w:rsidP="005753D7">
      <w:pPr>
        <w:rPr>
          <w:rFonts w:hint="eastAsia"/>
        </w:rPr>
      </w:pPr>
      <w:r>
        <w:rPr>
          <w:rFonts w:hint="eastAsia"/>
        </w:rPr>
        <w:t>[4]</w:t>
      </w:r>
      <w:r w:rsidRPr="00730A7C">
        <w:t xml:space="preserve"> https://doi.org/10.3390/pr13010133</w:t>
      </w:r>
    </w:p>
    <w:p w14:paraId="51944B0D" w14:textId="77777777" w:rsidR="005753D7" w:rsidRDefault="005753D7" w:rsidP="005753D7">
      <w:pPr>
        <w:rPr>
          <w:rFonts w:hint="eastAsia"/>
        </w:rPr>
      </w:pPr>
      <w:r>
        <w:rPr>
          <w:rFonts w:hint="eastAsia"/>
        </w:rPr>
        <w:t>[5]</w:t>
      </w:r>
      <w:r w:rsidRPr="00730A7C">
        <w:rPr>
          <w:rFonts w:hint="eastAsia"/>
        </w:rPr>
        <w:t xml:space="preserve"> </w:t>
      </w:r>
      <w:hyperlink r:id="rId22" w:tgtFrame="_blank" w:history="1">
        <w:r w:rsidRPr="00730A7C">
          <w:rPr>
            <w:rStyle w:val="afb"/>
          </w:rPr>
          <w:t>https://doi.org/10.2118/195095-MS</w:t>
        </w:r>
      </w:hyperlink>
    </w:p>
    <w:p w14:paraId="4110172D" w14:textId="77777777" w:rsidR="005753D7" w:rsidRDefault="005753D7" w:rsidP="005753D7">
      <w:pPr>
        <w:rPr>
          <w:rFonts w:hint="eastAsia"/>
        </w:rPr>
      </w:pPr>
      <w:r>
        <w:rPr>
          <w:rFonts w:hint="eastAsia"/>
        </w:rPr>
        <w:t>[6]</w:t>
      </w:r>
      <w:r w:rsidRPr="00C87409">
        <w:rPr>
          <w:rFonts w:hint="eastAsia"/>
        </w:rPr>
        <w:t xml:space="preserve"> </w:t>
      </w:r>
      <w:hyperlink r:id="rId23" w:history="1">
        <w:r w:rsidRPr="00CE503D">
          <w:rPr>
            <w:rStyle w:val="afb"/>
            <w:rFonts w:hint="eastAsia"/>
          </w:rPr>
          <w:t>https://doi.org/10.4018/979-8-3693-8156-4.ch004</w:t>
        </w:r>
      </w:hyperlink>
    </w:p>
    <w:p w14:paraId="2155F0F1" w14:textId="77777777" w:rsidR="005753D7" w:rsidRDefault="005753D7" w:rsidP="005753D7">
      <w:pPr>
        <w:rPr>
          <w:rFonts w:hint="eastAsia"/>
        </w:rPr>
      </w:pPr>
      <w:r>
        <w:rPr>
          <w:rFonts w:hint="eastAsia"/>
        </w:rPr>
        <w:t>[7]</w:t>
      </w:r>
      <w:r w:rsidRPr="00626E22">
        <w:rPr>
          <w:rFonts w:hint="eastAsia"/>
        </w:rPr>
        <w:t xml:space="preserve"> </w:t>
      </w:r>
      <w:hyperlink r:id="rId24" w:tgtFrame="_blank" w:tooltip="Persistent link using digital object identifier" w:history="1">
        <w:r w:rsidRPr="00626E22">
          <w:rPr>
            <w:rStyle w:val="afb"/>
          </w:rPr>
          <w:t>https://doi.org/10.1016/j.petrol.2021.109633</w:t>
        </w:r>
      </w:hyperlink>
    </w:p>
    <w:p w14:paraId="79090DFC" w14:textId="77777777" w:rsidR="005753D7" w:rsidRDefault="005753D7" w:rsidP="005753D7">
      <w:pPr>
        <w:rPr>
          <w:rFonts w:hint="eastAsia"/>
        </w:rPr>
      </w:pPr>
      <w:r>
        <w:rPr>
          <w:rFonts w:hint="eastAsia"/>
        </w:rPr>
        <w:t>[8]</w:t>
      </w:r>
      <w:r w:rsidRPr="00626E22">
        <w:rPr>
          <w:rFonts w:hint="eastAsia"/>
        </w:rPr>
        <w:t xml:space="preserve"> </w:t>
      </w:r>
      <w:hyperlink r:id="rId25" w:tgtFrame="_blank" w:tooltip="Persistent link using digital object identifier" w:history="1">
        <w:r w:rsidRPr="00626E22">
          <w:rPr>
            <w:rStyle w:val="afb"/>
          </w:rPr>
          <w:t>https://doi.org/10.1016/j.jappgeo.2018.09.013</w:t>
        </w:r>
      </w:hyperlink>
    </w:p>
    <w:p w14:paraId="6B6A84D7" w14:textId="77777777" w:rsidR="005753D7" w:rsidRDefault="005753D7" w:rsidP="005753D7">
      <w:pPr>
        <w:rPr>
          <w:rFonts w:hint="eastAsia"/>
        </w:rPr>
      </w:pPr>
      <w:r>
        <w:rPr>
          <w:rFonts w:hint="eastAsia"/>
        </w:rPr>
        <w:t>[9]</w:t>
      </w:r>
      <w:r w:rsidRPr="00626E22">
        <w:rPr>
          <w:rFonts w:hint="eastAsia"/>
        </w:rPr>
        <w:t xml:space="preserve"> </w:t>
      </w:r>
      <w:hyperlink r:id="rId26" w:history="1">
        <w:r w:rsidRPr="00626E22">
          <w:rPr>
            <w:rStyle w:val="afb"/>
          </w:rPr>
          <w:t>https://doi.org/10.3390/pr13010133</w:t>
        </w:r>
      </w:hyperlink>
    </w:p>
    <w:p w14:paraId="70771587" w14:textId="77777777" w:rsidR="005753D7" w:rsidRDefault="005753D7" w:rsidP="005753D7">
      <w:pPr>
        <w:rPr>
          <w:rFonts w:hint="eastAsia"/>
        </w:rPr>
      </w:pPr>
      <w:r>
        <w:rPr>
          <w:rFonts w:hint="eastAsia"/>
        </w:rPr>
        <w:t>[10]</w:t>
      </w:r>
      <w:r w:rsidRPr="002D3B91">
        <w:t xml:space="preserve"> </w:t>
      </w:r>
      <w:hyperlink r:id="rId27" w:history="1">
        <w:r w:rsidRPr="00327E04">
          <w:rPr>
            <w:rStyle w:val="afb"/>
          </w:rPr>
          <w:t>http://doi.org/10.1109/ICRAMET.2017.8253159</w:t>
        </w:r>
      </w:hyperlink>
    </w:p>
    <w:p w14:paraId="2381CBC3" w14:textId="77777777" w:rsidR="005753D7" w:rsidRDefault="005753D7" w:rsidP="005753D7">
      <w:pPr>
        <w:rPr>
          <w:rFonts w:hint="eastAsia"/>
        </w:rPr>
      </w:pPr>
      <w:r>
        <w:rPr>
          <w:rFonts w:hint="eastAsia"/>
        </w:rPr>
        <w:t>[11]</w:t>
      </w:r>
      <w:r w:rsidRPr="002D3B91">
        <w:rPr>
          <w:rFonts w:hint="eastAsia"/>
        </w:rPr>
        <w:t xml:space="preserve"> </w:t>
      </w:r>
      <w:hyperlink r:id="rId28" w:tgtFrame="_blank" w:tooltip="Persistent link using digital object identifier" w:history="1">
        <w:r w:rsidRPr="002D3B91">
          <w:rPr>
            <w:rStyle w:val="afb"/>
          </w:rPr>
          <w:t>https://doi.org/10.1016/j.bcra.2025.100425</w:t>
        </w:r>
      </w:hyperlink>
    </w:p>
    <w:p w14:paraId="4572CB16" w14:textId="77777777" w:rsidR="005753D7" w:rsidRDefault="005753D7" w:rsidP="005753D7">
      <w:pPr>
        <w:rPr>
          <w:rFonts w:hint="eastAsia"/>
        </w:rPr>
      </w:pPr>
      <w:r>
        <w:rPr>
          <w:rFonts w:hint="eastAsia"/>
        </w:rPr>
        <w:t>[12]</w:t>
      </w:r>
      <w:r w:rsidRPr="009D0C9C">
        <w:rPr>
          <w:rFonts w:hint="eastAsia"/>
        </w:rPr>
        <w:t xml:space="preserve"> </w:t>
      </w:r>
      <w:hyperlink r:id="rId29" w:tgtFrame="_blank" w:history="1">
        <w:r w:rsidRPr="009D0C9C">
          <w:rPr>
            <w:rStyle w:val="afb"/>
          </w:rPr>
          <w:t>https://doi.org/10.2118/211116-MS</w:t>
        </w:r>
      </w:hyperlink>
    </w:p>
    <w:p w14:paraId="5FE5DD43" w14:textId="77777777" w:rsidR="005753D7" w:rsidRDefault="005753D7" w:rsidP="005753D7">
      <w:pPr>
        <w:rPr>
          <w:rFonts w:hint="eastAsia"/>
        </w:rPr>
      </w:pPr>
      <w:r>
        <w:rPr>
          <w:rFonts w:hint="eastAsia"/>
        </w:rPr>
        <w:t>[13]</w:t>
      </w:r>
      <w:r w:rsidRPr="009D0C9C">
        <w:rPr>
          <w:rFonts w:hint="eastAsia"/>
        </w:rPr>
        <w:t xml:space="preserve"> </w:t>
      </w:r>
      <w:hyperlink r:id="rId30" w:tgtFrame="_blank" w:tooltip="Persistent link using digital object identifier" w:history="1">
        <w:r w:rsidRPr="009D0C9C">
          <w:rPr>
            <w:rStyle w:val="afb"/>
          </w:rPr>
          <w:t>https://doi.org/10.1016/j.robot.2015.09.013</w:t>
        </w:r>
      </w:hyperlink>
    </w:p>
    <w:p w14:paraId="10663E1E" w14:textId="77777777" w:rsidR="005753D7" w:rsidRDefault="005753D7" w:rsidP="005753D7">
      <w:pPr>
        <w:rPr>
          <w:rFonts w:hint="eastAsia"/>
        </w:rPr>
      </w:pPr>
      <w:r>
        <w:rPr>
          <w:rFonts w:hint="eastAsia"/>
        </w:rPr>
        <w:t>[14]</w:t>
      </w:r>
      <w:r w:rsidRPr="00476799">
        <w:rPr>
          <w:rFonts w:hint="eastAsia"/>
        </w:rPr>
        <w:t xml:space="preserve"> </w:t>
      </w:r>
      <w:hyperlink r:id="rId31" w:history="1">
        <w:r w:rsidRPr="001F4A45">
          <w:rPr>
            <w:rStyle w:val="afb"/>
            <w:rFonts w:hint="eastAsia"/>
          </w:rPr>
          <w:t>http://doi.org/10.6919/ICJE.202305_9(5).0043</w:t>
        </w:r>
      </w:hyperlink>
    </w:p>
    <w:p w14:paraId="3D69B228" w14:textId="77777777" w:rsidR="005753D7" w:rsidRDefault="005753D7" w:rsidP="005753D7">
      <w:pPr>
        <w:rPr>
          <w:rFonts w:hint="eastAsia"/>
        </w:rPr>
      </w:pPr>
      <w:r>
        <w:rPr>
          <w:rFonts w:hint="eastAsia"/>
        </w:rPr>
        <w:t>[15]</w:t>
      </w:r>
      <w:r w:rsidRPr="00175D90">
        <w:t xml:space="preserve"> </w:t>
      </w:r>
      <w:hyperlink r:id="rId32" w:tgtFrame="_blank" w:tooltip="Persistent link using digital object identifier" w:history="1">
        <w:r w:rsidRPr="00175D90">
          <w:rPr>
            <w:rStyle w:val="afb"/>
          </w:rPr>
          <w:t>https://doi.org/10.1016/j.procs.2025.08.162</w:t>
        </w:r>
      </w:hyperlink>
    </w:p>
    <w:p w14:paraId="1AE47749" w14:textId="77777777" w:rsidR="005753D7" w:rsidRDefault="005753D7" w:rsidP="005753D7">
      <w:pPr>
        <w:rPr>
          <w:rFonts w:hint="eastAsia"/>
        </w:rPr>
      </w:pPr>
      <w:r>
        <w:rPr>
          <w:rFonts w:hint="eastAsia"/>
        </w:rPr>
        <w:t>[16]</w:t>
      </w:r>
      <w:r w:rsidRPr="003D013D">
        <w:t xml:space="preserve"> </w:t>
      </w:r>
      <w:hyperlink r:id="rId33" w:tgtFrame="_blank" w:tooltip="使用数字对象标识符的持久链接" w:history="1">
        <w:r w:rsidRPr="003D013D">
          <w:rPr>
            <w:rStyle w:val="afb"/>
          </w:rPr>
          <w:t>https://doi.org/10.1016/j.aiig.2025.100126</w:t>
        </w:r>
      </w:hyperlink>
    </w:p>
    <w:p w14:paraId="49C0DB53" w14:textId="77777777" w:rsidR="005753D7" w:rsidRDefault="005753D7" w:rsidP="005753D7">
      <w:pPr>
        <w:rPr>
          <w:rFonts w:hint="eastAsia"/>
        </w:rPr>
      </w:pPr>
      <w:r>
        <w:rPr>
          <w:rFonts w:hint="eastAsia"/>
        </w:rPr>
        <w:t>[17]</w:t>
      </w:r>
      <w:r w:rsidRPr="003D013D">
        <w:t xml:space="preserve"> </w:t>
      </w:r>
      <w:hyperlink r:id="rId34" w:tgtFrame="_blank" w:tooltip="Persistent link using digital object identifier" w:history="1">
        <w:r w:rsidRPr="003D013D">
          <w:rPr>
            <w:rStyle w:val="afb"/>
          </w:rPr>
          <w:t>https://doi.org/10.1016/j.petsci.2024.02.018</w:t>
        </w:r>
      </w:hyperlink>
    </w:p>
    <w:p w14:paraId="06AAD4A6" w14:textId="77777777" w:rsidR="005753D7" w:rsidRDefault="005753D7" w:rsidP="005753D7">
      <w:pPr>
        <w:rPr>
          <w:rFonts w:hint="eastAsia"/>
        </w:rPr>
      </w:pPr>
      <w:r>
        <w:rPr>
          <w:rFonts w:hint="eastAsia"/>
        </w:rPr>
        <w:t>[18]</w:t>
      </w:r>
      <w:r w:rsidRPr="003D013D">
        <w:t xml:space="preserve"> </w:t>
      </w:r>
      <w:hyperlink r:id="rId35" w:tgtFrame="_blank" w:tooltip="Persistent link using digital object identifier" w:history="1">
        <w:r w:rsidRPr="003D013D">
          <w:rPr>
            <w:rStyle w:val="afb"/>
          </w:rPr>
          <w:t>https://doi.org/10.1016/j.petrol.2020.107879</w:t>
        </w:r>
      </w:hyperlink>
    </w:p>
    <w:p w14:paraId="62ACA172" w14:textId="77777777" w:rsidR="005753D7" w:rsidRDefault="005753D7" w:rsidP="005753D7">
      <w:pPr>
        <w:rPr>
          <w:rFonts w:hint="eastAsia"/>
        </w:rPr>
      </w:pPr>
      <w:r>
        <w:rPr>
          <w:rFonts w:hint="eastAsia"/>
        </w:rPr>
        <w:t>[19]</w:t>
      </w:r>
      <w:r w:rsidRPr="003D013D">
        <w:t xml:space="preserve"> </w:t>
      </w:r>
      <w:hyperlink r:id="rId36" w:tgtFrame="_blank" w:history="1">
        <w:r w:rsidRPr="003D013D">
          <w:rPr>
            <w:rStyle w:val="afb"/>
          </w:rPr>
          <w:t>https://doi.org/10.2118/196355-MS</w:t>
        </w:r>
      </w:hyperlink>
    </w:p>
    <w:p w14:paraId="13BA74A6" w14:textId="77777777" w:rsidR="005753D7" w:rsidRDefault="005753D7" w:rsidP="005753D7">
      <w:pPr>
        <w:rPr>
          <w:rFonts w:hint="eastAsia"/>
        </w:rPr>
      </w:pPr>
      <w:r>
        <w:rPr>
          <w:rFonts w:hint="eastAsia"/>
        </w:rPr>
        <w:t>[20]</w:t>
      </w:r>
      <w:r w:rsidRPr="00BB781C">
        <w:t xml:space="preserve"> </w:t>
      </w:r>
      <w:hyperlink r:id="rId37" w:tgtFrame="_blank" w:tooltip="Persistent link using digital object identifier" w:history="1">
        <w:r w:rsidRPr="00BB781C">
          <w:rPr>
            <w:rStyle w:val="afb"/>
          </w:rPr>
          <w:t>https://doi.org/10.1016/j.petlm.2025.11.005</w:t>
        </w:r>
      </w:hyperlink>
    </w:p>
    <w:p w14:paraId="7319BCCC" w14:textId="77777777" w:rsidR="005753D7" w:rsidRDefault="005753D7" w:rsidP="005753D7">
      <w:pPr>
        <w:rPr>
          <w:rFonts w:hint="eastAsia"/>
        </w:rPr>
      </w:pPr>
      <w:r>
        <w:rPr>
          <w:rFonts w:hint="eastAsia"/>
        </w:rPr>
        <w:lastRenderedPageBreak/>
        <w:t>[21]</w:t>
      </w:r>
      <w:r w:rsidRPr="00BB781C">
        <w:t xml:space="preserve"> </w:t>
      </w:r>
      <w:hyperlink r:id="rId38" w:tgtFrame="_blank" w:tooltip="使用数字对象标识符的持久链接" w:history="1">
        <w:r w:rsidRPr="00BB781C">
          <w:rPr>
            <w:rStyle w:val="afb"/>
          </w:rPr>
          <w:t>https://doi.org/10.1016/S1876-3804(25)60607-0</w:t>
        </w:r>
      </w:hyperlink>
    </w:p>
    <w:p w14:paraId="3D6CDCAA" w14:textId="77777777" w:rsidR="005753D7" w:rsidRDefault="005753D7" w:rsidP="005753D7">
      <w:pPr>
        <w:rPr>
          <w:rFonts w:hint="eastAsia"/>
        </w:rPr>
      </w:pPr>
      <w:r>
        <w:rPr>
          <w:rFonts w:hint="eastAsia"/>
        </w:rPr>
        <w:t>[22]</w:t>
      </w:r>
      <w:r w:rsidRPr="00BB781C">
        <w:t xml:space="preserve"> </w:t>
      </w:r>
      <w:hyperlink r:id="rId39" w:history="1">
        <w:r w:rsidRPr="00EA22AA">
          <w:rPr>
            <w:rStyle w:val="afb"/>
          </w:rPr>
          <w:t>https://doi.org/10.1016/j.geoen.2023.212528</w:t>
        </w:r>
      </w:hyperlink>
    </w:p>
    <w:p w14:paraId="145A37A8" w14:textId="77777777" w:rsidR="005753D7" w:rsidRDefault="005753D7" w:rsidP="005753D7">
      <w:pPr>
        <w:rPr>
          <w:rFonts w:hint="eastAsia"/>
        </w:rPr>
      </w:pPr>
      <w:r>
        <w:rPr>
          <w:rFonts w:hint="eastAsia"/>
        </w:rPr>
        <w:t>[23]</w:t>
      </w:r>
      <w:r w:rsidRPr="00BB781C">
        <w:t xml:space="preserve"> </w:t>
      </w:r>
      <w:hyperlink r:id="rId40" w:history="1">
        <w:r w:rsidRPr="00BB781C">
          <w:rPr>
            <w:rStyle w:val="afb"/>
            <w:b/>
            <w:bCs/>
          </w:rPr>
          <w:t>https://doi.org/10.3390/app132212267</w:t>
        </w:r>
      </w:hyperlink>
    </w:p>
    <w:p w14:paraId="6415EFF6" w14:textId="77777777" w:rsidR="005753D7" w:rsidRDefault="005753D7" w:rsidP="005753D7">
      <w:pPr>
        <w:rPr>
          <w:rFonts w:hint="eastAsia"/>
        </w:rPr>
      </w:pPr>
      <w:r>
        <w:rPr>
          <w:rFonts w:hint="eastAsia"/>
        </w:rPr>
        <w:t>[24]</w:t>
      </w:r>
      <w:r w:rsidRPr="00BB781C">
        <w:rPr>
          <w:rFonts w:ascii="Segoe UI" w:hAnsi="Segoe UI" w:cs="Segoe UI"/>
          <w:color w:val="222222"/>
          <w:shd w:val="clear" w:color="auto" w:fill="FFFFFF"/>
        </w:rPr>
        <w:t xml:space="preserve"> </w:t>
      </w:r>
      <w:hyperlink r:id="rId41" w:history="1">
        <w:r w:rsidRPr="00EA22AA">
          <w:rPr>
            <w:rStyle w:val="afb"/>
          </w:rPr>
          <w:t>https://doi.org/10.1038/s41598-025-21696-x</w:t>
        </w:r>
      </w:hyperlink>
    </w:p>
    <w:p w14:paraId="38A39898" w14:textId="77777777" w:rsidR="005753D7" w:rsidRDefault="005753D7" w:rsidP="005753D7">
      <w:pPr>
        <w:rPr>
          <w:rFonts w:hint="eastAsia"/>
        </w:rPr>
      </w:pPr>
      <w:r>
        <w:rPr>
          <w:rFonts w:hint="eastAsia"/>
        </w:rPr>
        <w:t>[25]</w:t>
      </w:r>
      <w:r w:rsidRPr="00ED1A83">
        <w:rPr>
          <w:rFonts w:hint="eastAsia"/>
        </w:rPr>
        <w:t xml:space="preserve"> </w:t>
      </w:r>
      <w:hyperlink r:id="rId42" w:history="1">
        <w:r w:rsidRPr="00EA22AA">
          <w:rPr>
            <w:rStyle w:val="afb"/>
          </w:rPr>
          <w:t>http://doi.org/10.26599/TST.2025.9010051</w:t>
        </w:r>
      </w:hyperlink>
    </w:p>
    <w:p w14:paraId="7721CC18" w14:textId="77777777" w:rsidR="005753D7" w:rsidRDefault="005753D7" w:rsidP="005753D7">
      <w:pPr>
        <w:rPr>
          <w:rFonts w:hint="eastAsia"/>
        </w:rPr>
      </w:pPr>
      <w:r>
        <w:rPr>
          <w:rFonts w:hint="eastAsia"/>
        </w:rPr>
        <w:t>[26]</w:t>
      </w:r>
      <w:r w:rsidRPr="00ED1A83">
        <w:t xml:space="preserve"> </w:t>
      </w:r>
      <w:hyperlink r:id="rId43" w:history="1">
        <w:r w:rsidRPr="00ED1A83">
          <w:rPr>
            <w:rStyle w:val="afb"/>
            <w:b/>
            <w:bCs/>
          </w:rPr>
          <w:t>https://doi.org/10.3390/ecsa-11-20501</w:t>
        </w:r>
      </w:hyperlink>
    </w:p>
    <w:p w14:paraId="669F9C7E" w14:textId="77777777" w:rsidR="005753D7" w:rsidRDefault="005753D7" w:rsidP="005753D7">
      <w:pPr>
        <w:rPr>
          <w:rFonts w:hint="eastAsia"/>
        </w:rPr>
      </w:pPr>
      <w:r>
        <w:rPr>
          <w:rFonts w:hint="eastAsia"/>
        </w:rPr>
        <w:t>[27]</w:t>
      </w:r>
      <w:r w:rsidRPr="00ED1A83">
        <w:rPr>
          <w:rFonts w:hint="eastAsia"/>
        </w:rPr>
        <w:t xml:space="preserve"> </w:t>
      </w:r>
      <w:hyperlink r:id="rId44" w:history="1">
        <w:r w:rsidRPr="00EA22AA">
          <w:rPr>
            <w:rStyle w:val="afb"/>
          </w:rPr>
          <w:t>https://doi.org/10.1109/ICKECS61492.2024.10616500</w:t>
        </w:r>
      </w:hyperlink>
    </w:p>
    <w:p w14:paraId="14437DA5" w14:textId="77777777" w:rsidR="005753D7" w:rsidRDefault="005753D7" w:rsidP="005753D7">
      <w:pPr>
        <w:rPr>
          <w:rFonts w:hint="eastAsia"/>
        </w:rPr>
      </w:pPr>
      <w:r>
        <w:rPr>
          <w:rFonts w:hint="eastAsia"/>
        </w:rPr>
        <w:t>[28]</w:t>
      </w:r>
      <w:r w:rsidRPr="00D004DD">
        <w:t xml:space="preserve"> </w:t>
      </w:r>
      <w:hyperlink r:id="rId45" w:tgtFrame="_blank" w:history="1">
        <w:r w:rsidRPr="00D004DD">
          <w:rPr>
            <w:rStyle w:val="afb"/>
          </w:rPr>
          <w:t>https://doi.org/10.2523/IPTC-19418-MS</w:t>
        </w:r>
      </w:hyperlink>
    </w:p>
    <w:p w14:paraId="7C37DDAF" w14:textId="77777777" w:rsidR="005753D7" w:rsidRDefault="005753D7" w:rsidP="005753D7">
      <w:pPr>
        <w:rPr>
          <w:rFonts w:hint="eastAsia"/>
        </w:rPr>
      </w:pPr>
      <w:r>
        <w:rPr>
          <w:rFonts w:hint="eastAsia"/>
        </w:rPr>
        <w:t>[29]</w:t>
      </w:r>
      <w:r w:rsidRPr="000241CF">
        <w:rPr>
          <w:rFonts w:ascii="Merriweather Sans" w:hAnsi="Merriweather Sans"/>
          <w:color w:val="222222"/>
          <w:shd w:val="clear" w:color="auto" w:fill="FFFFFF"/>
        </w:rPr>
        <w:t xml:space="preserve"> </w:t>
      </w:r>
      <w:hyperlink r:id="rId46" w:history="1">
        <w:r w:rsidRPr="003C5321">
          <w:rPr>
            <w:rStyle w:val="afb"/>
          </w:rPr>
          <w:t>https://doi.org/10.1007/s13202-022-01490-5</w:t>
        </w:r>
      </w:hyperlink>
    </w:p>
    <w:p w14:paraId="06406C01" w14:textId="77777777" w:rsidR="005753D7" w:rsidRDefault="005753D7" w:rsidP="005753D7">
      <w:pPr>
        <w:rPr>
          <w:rFonts w:hint="eastAsia"/>
        </w:rPr>
      </w:pPr>
      <w:r>
        <w:rPr>
          <w:rFonts w:hint="eastAsia"/>
        </w:rPr>
        <w:t>[30]</w:t>
      </w:r>
      <w:r w:rsidRPr="000241CF">
        <w:rPr>
          <w:rFonts w:hint="eastAsia"/>
        </w:rPr>
        <w:t xml:space="preserve"> </w:t>
      </w:r>
      <w:hyperlink r:id="rId47" w:history="1">
        <w:r w:rsidRPr="000241CF">
          <w:rPr>
            <w:rStyle w:val="afb"/>
          </w:rPr>
          <w:t>https://doi.org/10.3390/pr12010110</w:t>
        </w:r>
      </w:hyperlink>
    </w:p>
    <w:p w14:paraId="707C055A" w14:textId="77777777" w:rsidR="005753D7" w:rsidRDefault="005753D7" w:rsidP="005753D7">
      <w:pPr>
        <w:rPr>
          <w:rFonts w:hint="eastAsia"/>
        </w:rPr>
      </w:pPr>
      <w:r>
        <w:rPr>
          <w:rFonts w:hint="eastAsia"/>
        </w:rPr>
        <w:t>[31]</w:t>
      </w:r>
      <w:r w:rsidRPr="005A3777">
        <w:rPr>
          <w:rFonts w:hint="eastAsia"/>
        </w:rPr>
        <w:t xml:space="preserve"> </w:t>
      </w:r>
      <w:hyperlink r:id="rId48" w:history="1">
        <w:r w:rsidRPr="00515319">
          <w:rPr>
            <w:rStyle w:val="afb"/>
            <w:rFonts w:hint="eastAsia"/>
          </w:rPr>
          <w:t>http://doi.org/10.2118/227966-ms</w:t>
        </w:r>
      </w:hyperlink>
    </w:p>
    <w:p w14:paraId="60E6473A" w14:textId="77777777" w:rsidR="005753D7" w:rsidRDefault="005753D7" w:rsidP="005753D7">
      <w:pPr>
        <w:rPr>
          <w:rFonts w:hint="eastAsia"/>
        </w:rPr>
      </w:pPr>
      <w:r>
        <w:rPr>
          <w:rFonts w:hint="eastAsia"/>
        </w:rPr>
        <w:t>[32]</w:t>
      </w:r>
      <w:r w:rsidRPr="005A3777">
        <w:rPr>
          <w:rFonts w:hint="eastAsia"/>
        </w:rPr>
        <w:t xml:space="preserve"> </w:t>
      </w:r>
      <w:hyperlink r:id="rId49" w:tgtFrame="_blank" w:history="1">
        <w:r w:rsidRPr="005A3777">
          <w:rPr>
            <w:rStyle w:val="afb"/>
          </w:rPr>
          <w:t>https://doi.org/10.2118/203951-PA</w:t>
        </w:r>
      </w:hyperlink>
    </w:p>
    <w:p w14:paraId="7D476DE2" w14:textId="77777777" w:rsidR="005753D7" w:rsidRDefault="005753D7" w:rsidP="005753D7">
      <w:pPr>
        <w:rPr>
          <w:rFonts w:hint="eastAsia"/>
        </w:rPr>
      </w:pPr>
      <w:r>
        <w:rPr>
          <w:rFonts w:hint="eastAsia"/>
        </w:rPr>
        <w:t>[33]</w:t>
      </w:r>
      <w:r w:rsidRPr="00D61D79">
        <w:rPr>
          <w:rFonts w:hint="eastAsia"/>
        </w:rPr>
        <w:t xml:space="preserve"> </w:t>
      </w:r>
      <w:hyperlink r:id="rId50" w:history="1">
        <w:r w:rsidRPr="008B3E5D">
          <w:rPr>
            <w:rStyle w:val="afb"/>
            <w:rFonts w:hint="eastAsia"/>
          </w:rPr>
          <w:t>https://doi.org/10.1109/JIOT.2021.3127873</w:t>
        </w:r>
      </w:hyperlink>
    </w:p>
    <w:p w14:paraId="384F73EF" w14:textId="77777777" w:rsidR="005753D7" w:rsidRDefault="005753D7" w:rsidP="005753D7">
      <w:pPr>
        <w:rPr>
          <w:rFonts w:hint="eastAsia"/>
        </w:rPr>
      </w:pPr>
      <w:r>
        <w:rPr>
          <w:rFonts w:hint="eastAsia"/>
        </w:rPr>
        <w:t>[34]</w:t>
      </w:r>
      <w:r w:rsidRPr="00D61D79">
        <w:rPr>
          <w:rFonts w:hint="eastAsia"/>
        </w:rPr>
        <w:t xml:space="preserve"> </w:t>
      </w:r>
      <w:hyperlink r:id="rId51" w:history="1">
        <w:r w:rsidRPr="00D61D79">
          <w:rPr>
            <w:rStyle w:val="afb"/>
          </w:rPr>
          <w:t>https://doi.org/10.63125/53crx355</w:t>
        </w:r>
      </w:hyperlink>
    </w:p>
    <w:p w14:paraId="5B1F62FA" w14:textId="77777777" w:rsidR="005753D7" w:rsidRDefault="005753D7" w:rsidP="005753D7">
      <w:pPr>
        <w:rPr>
          <w:rFonts w:hint="eastAsia"/>
        </w:rPr>
      </w:pPr>
      <w:r>
        <w:rPr>
          <w:rFonts w:hint="eastAsia"/>
        </w:rPr>
        <w:t>[35]</w:t>
      </w:r>
      <w:r w:rsidRPr="008C08D8">
        <w:rPr>
          <w:rFonts w:ascii="Merriweather Sans" w:hAnsi="Merriweather Sans"/>
          <w:color w:val="222222"/>
          <w:shd w:val="clear" w:color="auto" w:fill="FFFFFF"/>
        </w:rPr>
        <w:t xml:space="preserve"> </w:t>
      </w:r>
      <w:hyperlink r:id="rId52" w:history="1">
        <w:r w:rsidRPr="008B3E5D">
          <w:rPr>
            <w:rStyle w:val="afb"/>
          </w:rPr>
          <w:t>https://doi.org/10.1007/s44196-025-00924-2</w:t>
        </w:r>
      </w:hyperlink>
    </w:p>
    <w:p w14:paraId="5E24F1C7" w14:textId="77777777" w:rsidR="005753D7" w:rsidRDefault="005753D7" w:rsidP="005753D7">
      <w:pPr>
        <w:rPr>
          <w:rFonts w:hint="eastAsia"/>
        </w:rPr>
      </w:pPr>
      <w:r>
        <w:rPr>
          <w:rFonts w:hint="eastAsia"/>
        </w:rPr>
        <w:t>[36]</w:t>
      </w:r>
      <w:r w:rsidRPr="008C08D8">
        <w:rPr>
          <w:rFonts w:hint="eastAsia"/>
        </w:rPr>
        <w:t xml:space="preserve"> </w:t>
      </w:r>
      <w:hyperlink r:id="rId53" w:tgtFrame="_blank" w:tooltip="Persistent link using digital object identifier" w:history="1">
        <w:r w:rsidRPr="008C08D8">
          <w:rPr>
            <w:rStyle w:val="afb"/>
          </w:rPr>
          <w:t>https://doi.org/10.1016/j.autcon.2024.105302</w:t>
        </w:r>
      </w:hyperlink>
    </w:p>
    <w:p w14:paraId="4A5C3AC8" w14:textId="77777777" w:rsidR="005753D7" w:rsidRDefault="005753D7" w:rsidP="005753D7">
      <w:pPr>
        <w:rPr>
          <w:rFonts w:hint="eastAsia"/>
        </w:rPr>
      </w:pPr>
      <w:r>
        <w:rPr>
          <w:rFonts w:hint="eastAsia"/>
        </w:rPr>
        <w:t>[37]</w:t>
      </w:r>
      <w:r w:rsidRPr="00316050">
        <w:rPr>
          <w:rFonts w:ascii="Merriweather Sans" w:hAnsi="Merriweather Sans"/>
          <w:color w:val="222222"/>
          <w:shd w:val="clear" w:color="auto" w:fill="FFFFFF"/>
        </w:rPr>
        <w:t xml:space="preserve"> </w:t>
      </w:r>
      <w:hyperlink r:id="rId54" w:history="1">
        <w:r w:rsidRPr="00690B2A">
          <w:rPr>
            <w:rStyle w:val="afb"/>
          </w:rPr>
          <w:t>https://doi.org/10.1007/s41403-024-00464-9</w:t>
        </w:r>
      </w:hyperlink>
    </w:p>
    <w:p w14:paraId="4F47DC2D" w14:textId="77777777" w:rsidR="005753D7" w:rsidRDefault="005753D7" w:rsidP="005753D7">
      <w:pPr>
        <w:rPr>
          <w:rFonts w:hint="eastAsia"/>
        </w:rPr>
      </w:pPr>
      <w:r>
        <w:rPr>
          <w:rFonts w:hint="eastAsia"/>
        </w:rPr>
        <w:t>[38]</w:t>
      </w:r>
      <w:r w:rsidRPr="00316050">
        <w:rPr>
          <w:rFonts w:hint="eastAsia"/>
        </w:rPr>
        <w:t xml:space="preserve"> </w:t>
      </w:r>
      <w:hyperlink r:id="rId55" w:tgtFrame="_blank" w:tooltip="Persistent link using digital object identifier" w:history="1">
        <w:r w:rsidRPr="00316050">
          <w:rPr>
            <w:rStyle w:val="afb"/>
          </w:rPr>
          <w:t>https://doi.org/10.1016/j.bcra.2025.100425</w:t>
        </w:r>
      </w:hyperlink>
    </w:p>
    <w:p w14:paraId="12D69C2B" w14:textId="77777777" w:rsidR="005753D7" w:rsidRDefault="005753D7" w:rsidP="005753D7">
      <w:pPr>
        <w:rPr>
          <w:rFonts w:hint="eastAsia"/>
        </w:rPr>
      </w:pPr>
      <w:r>
        <w:rPr>
          <w:rFonts w:hint="eastAsia"/>
        </w:rPr>
        <w:t>[39]</w:t>
      </w:r>
      <w:r w:rsidRPr="00316050">
        <w:rPr>
          <w:rFonts w:hint="eastAsia"/>
        </w:rPr>
        <w:t xml:space="preserve"> </w:t>
      </w:r>
      <w:hyperlink r:id="rId56" w:history="1">
        <w:r w:rsidRPr="00690B2A">
          <w:rPr>
            <w:rStyle w:val="afb"/>
            <w:rFonts w:hint="eastAsia"/>
          </w:rPr>
          <w:t>http://doi.org/10.20944/preprints202506.2515.v1</w:t>
        </w:r>
      </w:hyperlink>
    </w:p>
    <w:p w14:paraId="4E31CDB9" w14:textId="77777777" w:rsidR="005753D7" w:rsidRDefault="005753D7" w:rsidP="005753D7">
      <w:pPr>
        <w:rPr>
          <w:rFonts w:hint="eastAsia"/>
        </w:rPr>
      </w:pPr>
      <w:r>
        <w:rPr>
          <w:rFonts w:hint="eastAsia"/>
        </w:rPr>
        <w:t>[40]</w:t>
      </w:r>
      <w:r w:rsidRPr="00565BF8">
        <w:rPr>
          <w:rFonts w:hint="eastAsia"/>
        </w:rPr>
        <w:t xml:space="preserve"> </w:t>
      </w:r>
      <w:hyperlink r:id="rId57" w:tgtFrame="_blank" w:tooltip="Persistent link using digital object identifier" w:history="1">
        <w:r w:rsidRPr="00565BF8">
          <w:rPr>
            <w:rStyle w:val="afb"/>
          </w:rPr>
          <w:t>https://doi.org/10.1016/j.bcra.2025.100425</w:t>
        </w:r>
      </w:hyperlink>
    </w:p>
    <w:p w14:paraId="67AE2392" w14:textId="77777777" w:rsidR="005753D7" w:rsidRDefault="005753D7" w:rsidP="005753D7">
      <w:pPr>
        <w:rPr>
          <w:rFonts w:hint="eastAsia"/>
        </w:rPr>
      </w:pPr>
      <w:r>
        <w:rPr>
          <w:rFonts w:hint="eastAsia"/>
        </w:rPr>
        <w:t>[41]</w:t>
      </w:r>
      <w:r w:rsidRPr="00515F87">
        <w:rPr>
          <w:rFonts w:ascii="Open Sans" w:eastAsia="宋体" w:hAnsi="Open Sans" w:cs="Open Sans"/>
          <w:color w:val="767676"/>
          <w:kern w:val="0"/>
          <w:sz w:val="21"/>
          <w:szCs w:val="21"/>
          <w14:ligatures w14:val="none"/>
        </w:rPr>
        <w:t xml:space="preserve"> </w:t>
      </w:r>
      <w:hyperlink r:id="rId58" w:history="1">
        <w:r w:rsidRPr="00690B2A">
          <w:rPr>
            <w:rStyle w:val="afb"/>
            <w:rFonts w:hint="eastAsia"/>
          </w:rPr>
          <w:t>https://doi.org/10.62225/2583049X.2023.3.6.5388</w:t>
        </w:r>
      </w:hyperlink>
    </w:p>
    <w:p w14:paraId="1E97916D" w14:textId="77777777" w:rsidR="005753D7" w:rsidRPr="00515F87" w:rsidRDefault="005753D7" w:rsidP="005753D7">
      <w:pPr>
        <w:rPr>
          <w:rFonts w:hint="eastAsia"/>
        </w:rPr>
      </w:pPr>
      <w:r>
        <w:rPr>
          <w:rFonts w:hint="eastAsia"/>
        </w:rPr>
        <w:t>[42]</w:t>
      </w:r>
      <w:r w:rsidRPr="00515F87">
        <w:t xml:space="preserve"> </w:t>
      </w:r>
      <w:hyperlink r:id="rId59" w:history="1">
        <w:r w:rsidRPr="00690B2A">
          <w:rPr>
            <w:rStyle w:val="afb"/>
          </w:rPr>
          <w:t>http://doi.org/10.36227/techrxiv.175979241.11582889/v1</w:t>
        </w:r>
      </w:hyperlink>
      <w:commentRangeEnd w:id="4"/>
      <w:r w:rsidR="00E7031A">
        <w:rPr>
          <w:rStyle w:val="af4"/>
        </w:rPr>
        <w:commentReference w:id="4"/>
      </w:r>
    </w:p>
    <w:p w14:paraId="66DE76CC" w14:textId="77777777" w:rsidR="005753D7" w:rsidRPr="004C748D" w:rsidRDefault="005753D7" w:rsidP="005753D7">
      <w:pPr>
        <w:jc w:val="both"/>
        <w:rPr>
          <w:rFonts w:ascii="宋体" w:eastAsia="宋体" w:hAnsi="宋体" w:hint="eastAsia"/>
          <w:sz w:val="24"/>
        </w:rPr>
      </w:pPr>
    </w:p>
    <w:sectPr w:rsidR="005753D7" w:rsidRPr="004C748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 w:date="2026-01-28T15:19:00Z" w:initials="a">
    <w:p w14:paraId="2BF1A3BD" w14:textId="75CB49B4" w:rsidR="00991EB1" w:rsidRDefault="00991EB1">
      <w:pPr>
        <w:pStyle w:val="af5"/>
        <w:rPr>
          <w:rFonts w:hint="eastAsia"/>
        </w:rPr>
      </w:pPr>
      <w:r>
        <w:rPr>
          <w:rStyle w:val="af4"/>
        </w:rPr>
        <w:annotationRef/>
      </w:r>
      <w:r>
        <w:rPr>
          <w:rFonts w:hint="eastAsia"/>
        </w:rPr>
        <w:t>之前写错了</w:t>
      </w:r>
    </w:p>
  </w:comment>
  <w:comment w:id="1" w:author="admin" w:date="2026-01-28T15:18:00Z" w:initials="a">
    <w:p w14:paraId="08051DE6" w14:textId="5FFCC15C" w:rsidR="00641AA3" w:rsidRDefault="00641AA3">
      <w:pPr>
        <w:pStyle w:val="af5"/>
        <w:rPr>
          <w:rFonts w:hint="eastAsia"/>
        </w:rPr>
      </w:pPr>
      <w:r>
        <w:rPr>
          <w:rStyle w:val="af4"/>
        </w:rPr>
        <w:annotationRef/>
      </w:r>
      <w:r>
        <w:rPr>
          <w:rFonts w:hint="eastAsia"/>
        </w:rPr>
        <w:t>此图修改了</w:t>
      </w:r>
    </w:p>
  </w:comment>
  <w:comment w:id="2" w:author="admin" w:date="2026-01-28T15:19:00Z" w:initials="a">
    <w:p w14:paraId="12D78809" w14:textId="6B90284F" w:rsidR="00991EB1" w:rsidRDefault="00991EB1">
      <w:pPr>
        <w:pStyle w:val="af5"/>
        <w:rPr>
          <w:rFonts w:hint="eastAsia"/>
        </w:rPr>
      </w:pPr>
      <w:r>
        <w:rPr>
          <w:rStyle w:val="af4"/>
        </w:rPr>
        <w:annotationRef/>
      </w:r>
      <w:r>
        <w:rPr>
          <w:rFonts w:hint="eastAsia"/>
        </w:rPr>
        <w:t>新增</w:t>
      </w:r>
    </w:p>
  </w:comment>
  <w:comment w:id="4" w:author="admin" w:date="2026-01-28T15:20:00Z" w:initials="a">
    <w:p w14:paraId="36F0AD6C" w14:textId="597B83A0" w:rsidR="00E7031A" w:rsidRDefault="00E7031A">
      <w:pPr>
        <w:pStyle w:val="af5"/>
        <w:rPr>
          <w:rFonts w:hint="eastAsia"/>
        </w:rPr>
      </w:pPr>
      <w:r>
        <w:rPr>
          <w:rStyle w:val="af4"/>
        </w:rPr>
        <w:annotationRef/>
      </w:r>
      <w:r>
        <w:rPr>
          <w:rFonts w:hint="eastAsia"/>
        </w:rPr>
        <w:t>新增，需要用文献管理软件插入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F1A3BD" w15:done="0"/>
  <w15:commentEx w15:paraId="08051DE6" w15:done="0"/>
  <w15:commentEx w15:paraId="12D78809" w15:done="0"/>
  <w15:commentEx w15:paraId="36F0AD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F1A3BD" w16cid:durableId="2D24A78A"/>
  <w16cid:commentId w16cid:paraId="08051DE6" w16cid:durableId="2D24A730"/>
  <w16cid:commentId w16cid:paraId="12D78809" w16cid:durableId="2D24A79C"/>
  <w16cid:commentId w16cid:paraId="36F0AD6C" w16cid:durableId="2D24A7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A1B36" w14:textId="77777777" w:rsidR="00231A43" w:rsidRDefault="00231A43" w:rsidP="00D14A28">
      <w:pPr>
        <w:spacing w:after="0" w:line="240" w:lineRule="auto"/>
        <w:rPr>
          <w:rFonts w:hint="eastAsia"/>
        </w:rPr>
      </w:pPr>
      <w:r>
        <w:separator/>
      </w:r>
    </w:p>
  </w:endnote>
  <w:endnote w:type="continuationSeparator" w:id="0">
    <w:p w14:paraId="2162C635" w14:textId="77777777" w:rsidR="00231A43" w:rsidRDefault="00231A43" w:rsidP="00D14A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erriweather Sans">
    <w:charset w:val="00"/>
    <w:family w:val="auto"/>
    <w:pitch w:val="variable"/>
    <w:sig w:usb0="A00004FF" w:usb1="4000207B" w:usb2="00000000" w:usb3="00000000" w:csb0="00000193"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930AA" w14:textId="77777777" w:rsidR="00231A43" w:rsidRDefault="00231A43" w:rsidP="00D14A28">
      <w:pPr>
        <w:spacing w:after="0" w:line="240" w:lineRule="auto"/>
        <w:rPr>
          <w:rFonts w:hint="eastAsia"/>
        </w:rPr>
      </w:pPr>
      <w:r>
        <w:separator/>
      </w:r>
    </w:p>
  </w:footnote>
  <w:footnote w:type="continuationSeparator" w:id="0">
    <w:p w14:paraId="6E6FD148" w14:textId="77777777" w:rsidR="00231A43" w:rsidRDefault="00231A43" w:rsidP="00D14A2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4C32"/>
    <w:multiLevelType w:val="multilevel"/>
    <w:tmpl w:val="B96871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D7C5062"/>
    <w:multiLevelType w:val="hybridMultilevel"/>
    <w:tmpl w:val="1E96AB4A"/>
    <w:lvl w:ilvl="0" w:tplc="D6A64C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C55CAC"/>
    <w:multiLevelType w:val="hybridMultilevel"/>
    <w:tmpl w:val="E2F8C4A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81122ED"/>
    <w:multiLevelType w:val="hybridMultilevel"/>
    <w:tmpl w:val="3A1CB98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D4772CC"/>
    <w:multiLevelType w:val="hybridMultilevel"/>
    <w:tmpl w:val="E7265898"/>
    <w:lvl w:ilvl="0" w:tplc="E22A26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97390969">
    <w:abstractNumId w:val="0"/>
  </w:num>
  <w:num w:numId="2" w16cid:durableId="1287662156">
    <w:abstractNumId w:val="4"/>
  </w:num>
  <w:num w:numId="3" w16cid:durableId="1600719998">
    <w:abstractNumId w:val="1"/>
  </w:num>
  <w:num w:numId="4" w16cid:durableId="394160247">
    <w:abstractNumId w:val="3"/>
  </w:num>
  <w:num w:numId="5" w16cid:durableId="7545959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B73"/>
    <w:rsid w:val="000050B3"/>
    <w:rsid w:val="0001234C"/>
    <w:rsid w:val="000224CA"/>
    <w:rsid w:val="00040BAC"/>
    <w:rsid w:val="00063D34"/>
    <w:rsid w:val="00064E88"/>
    <w:rsid w:val="00065425"/>
    <w:rsid w:val="000661AF"/>
    <w:rsid w:val="00071A75"/>
    <w:rsid w:val="00097959"/>
    <w:rsid w:val="000A6FFB"/>
    <w:rsid w:val="000B40E6"/>
    <w:rsid w:val="000E2B21"/>
    <w:rsid w:val="000F3821"/>
    <w:rsid w:val="001429C6"/>
    <w:rsid w:val="00150587"/>
    <w:rsid w:val="001555F8"/>
    <w:rsid w:val="00170066"/>
    <w:rsid w:val="00175C56"/>
    <w:rsid w:val="0018284B"/>
    <w:rsid w:val="00182A17"/>
    <w:rsid w:val="001875E1"/>
    <w:rsid w:val="001924ED"/>
    <w:rsid w:val="0019334C"/>
    <w:rsid w:val="001A0D08"/>
    <w:rsid w:val="001A19E2"/>
    <w:rsid w:val="001C719F"/>
    <w:rsid w:val="001D4A5F"/>
    <w:rsid w:val="001E1846"/>
    <w:rsid w:val="001F6F7B"/>
    <w:rsid w:val="00201C2B"/>
    <w:rsid w:val="0021403F"/>
    <w:rsid w:val="002241A6"/>
    <w:rsid w:val="00224BA5"/>
    <w:rsid w:val="00231A43"/>
    <w:rsid w:val="002900DE"/>
    <w:rsid w:val="002A0F53"/>
    <w:rsid w:val="002A2BF7"/>
    <w:rsid w:val="002B0A71"/>
    <w:rsid w:val="002B529F"/>
    <w:rsid w:val="002B5994"/>
    <w:rsid w:val="002B6E64"/>
    <w:rsid w:val="002F2B84"/>
    <w:rsid w:val="0031361F"/>
    <w:rsid w:val="00313BDA"/>
    <w:rsid w:val="00355578"/>
    <w:rsid w:val="003576E6"/>
    <w:rsid w:val="00371465"/>
    <w:rsid w:val="00391441"/>
    <w:rsid w:val="003B1E84"/>
    <w:rsid w:val="00411A15"/>
    <w:rsid w:val="0041578F"/>
    <w:rsid w:val="00433624"/>
    <w:rsid w:val="0044239F"/>
    <w:rsid w:val="004447A3"/>
    <w:rsid w:val="004836DB"/>
    <w:rsid w:val="004A4209"/>
    <w:rsid w:val="004B61EE"/>
    <w:rsid w:val="004C748D"/>
    <w:rsid w:val="004D23CC"/>
    <w:rsid w:val="004D29B9"/>
    <w:rsid w:val="004E4FBA"/>
    <w:rsid w:val="004F294C"/>
    <w:rsid w:val="005149C2"/>
    <w:rsid w:val="00527C58"/>
    <w:rsid w:val="00556FEF"/>
    <w:rsid w:val="00557489"/>
    <w:rsid w:val="0057400A"/>
    <w:rsid w:val="005753D7"/>
    <w:rsid w:val="00583AA0"/>
    <w:rsid w:val="00586A05"/>
    <w:rsid w:val="005C4F95"/>
    <w:rsid w:val="005D4A0C"/>
    <w:rsid w:val="005D4FDC"/>
    <w:rsid w:val="005E183E"/>
    <w:rsid w:val="00636D46"/>
    <w:rsid w:val="00641AA3"/>
    <w:rsid w:val="00656509"/>
    <w:rsid w:val="006773CD"/>
    <w:rsid w:val="006922CE"/>
    <w:rsid w:val="006B664A"/>
    <w:rsid w:val="006C31E8"/>
    <w:rsid w:val="006E14EC"/>
    <w:rsid w:val="006E6D92"/>
    <w:rsid w:val="006F7636"/>
    <w:rsid w:val="00700565"/>
    <w:rsid w:val="0070134F"/>
    <w:rsid w:val="00701F9C"/>
    <w:rsid w:val="00702BCA"/>
    <w:rsid w:val="00722B41"/>
    <w:rsid w:val="00725CBC"/>
    <w:rsid w:val="00741F23"/>
    <w:rsid w:val="00745EFE"/>
    <w:rsid w:val="00757FD8"/>
    <w:rsid w:val="00761F7E"/>
    <w:rsid w:val="00762756"/>
    <w:rsid w:val="0077118C"/>
    <w:rsid w:val="00783F81"/>
    <w:rsid w:val="007875A0"/>
    <w:rsid w:val="007974A6"/>
    <w:rsid w:val="007A5043"/>
    <w:rsid w:val="007A7863"/>
    <w:rsid w:val="007B681B"/>
    <w:rsid w:val="007C02EB"/>
    <w:rsid w:val="00807E91"/>
    <w:rsid w:val="0081583B"/>
    <w:rsid w:val="008261D8"/>
    <w:rsid w:val="00837C3E"/>
    <w:rsid w:val="00862E0A"/>
    <w:rsid w:val="00874BA1"/>
    <w:rsid w:val="008815F7"/>
    <w:rsid w:val="00881ABC"/>
    <w:rsid w:val="00886BE3"/>
    <w:rsid w:val="008C52A7"/>
    <w:rsid w:val="008D2C1A"/>
    <w:rsid w:val="00906E0E"/>
    <w:rsid w:val="00911918"/>
    <w:rsid w:val="00912CEC"/>
    <w:rsid w:val="00915CD3"/>
    <w:rsid w:val="00917CB5"/>
    <w:rsid w:val="00960E37"/>
    <w:rsid w:val="00973A32"/>
    <w:rsid w:val="009750C4"/>
    <w:rsid w:val="00982D6C"/>
    <w:rsid w:val="00991EB1"/>
    <w:rsid w:val="00992870"/>
    <w:rsid w:val="0099458C"/>
    <w:rsid w:val="009B4C8D"/>
    <w:rsid w:val="009C0C08"/>
    <w:rsid w:val="009C4EED"/>
    <w:rsid w:val="009D7568"/>
    <w:rsid w:val="009E54C8"/>
    <w:rsid w:val="009F3328"/>
    <w:rsid w:val="009F3B12"/>
    <w:rsid w:val="00A018FA"/>
    <w:rsid w:val="00A064F4"/>
    <w:rsid w:val="00A12E40"/>
    <w:rsid w:val="00A12EFA"/>
    <w:rsid w:val="00A22DFC"/>
    <w:rsid w:val="00A245EE"/>
    <w:rsid w:val="00A3593B"/>
    <w:rsid w:val="00A445F0"/>
    <w:rsid w:val="00A5062D"/>
    <w:rsid w:val="00A770A7"/>
    <w:rsid w:val="00A850C9"/>
    <w:rsid w:val="00A921B0"/>
    <w:rsid w:val="00AB7D68"/>
    <w:rsid w:val="00AC5729"/>
    <w:rsid w:val="00AD5C88"/>
    <w:rsid w:val="00AE2245"/>
    <w:rsid w:val="00B047ED"/>
    <w:rsid w:val="00B06DEA"/>
    <w:rsid w:val="00B100BB"/>
    <w:rsid w:val="00B30825"/>
    <w:rsid w:val="00B42B54"/>
    <w:rsid w:val="00B45F02"/>
    <w:rsid w:val="00B62B1E"/>
    <w:rsid w:val="00B638A5"/>
    <w:rsid w:val="00B65C90"/>
    <w:rsid w:val="00B77EF7"/>
    <w:rsid w:val="00B84FB9"/>
    <w:rsid w:val="00B85F2B"/>
    <w:rsid w:val="00B864F8"/>
    <w:rsid w:val="00BD6D64"/>
    <w:rsid w:val="00BE3B27"/>
    <w:rsid w:val="00BF5452"/>
    <w:rsid w:val="00BF5A59"/>
    <w:rsid w:val="00C014A7"/>
    <w:rsid w:val="00C04015"/>
    <w:rsid w:val="00C218AF"/>
    <w:rsid w:val="00C23B6D"/>
    <w:rsid w:val="00C35419"/>
    <w:rsid w:val="00C52184"/>
    <w:rsid w:val="00C73075"/>
    <w:rsid w:val="00C76B73"/>
    <w:rsid w:val="00C849BE"/>
    <w:rsid w:val="00C87086"/>
    <w:rsid w:val="00CA1B77"/>
    <w:rsid w:val="00CC1118"/>
    <w:rsid w:val="00CD7029"/>
    <w:rsid w:val="00CF6923"/>
    <w:rsid w:val="00D14A28"/>
    <w:rsid w:val="00D20BCE"/>
    <w:rsid w:val="00D34863"/>
    <w:rsid w:val="00D764D6"/>
    <w:rsid w:val="00D91E42"/>
    <w:rsid w:val="00DB4791"/>
    <w:rsid w:val="00DC5AAB"/>
    <w:rsid w:val="00E07D91"/>
    <w:rsid w:val="00E14D71"/>
    <w:rsid w:val="00E214BF"/>
    <w:rsid w:val="00E235BA"/>
    <w:rsid w:val="00E37466"/>
    <w:rsid w:val="00E41653"/>
    <w:rsid w:val="00E45919"/>
    <w:rsid w:val="00E57C42"/>
    <w:rsid w:val="00E7031A"/>
    <w:rsid w:val="00EB6DC6"/>
    <w:rsid w:val="00EC140C"/>
    <w:rsid w:val="00ED6667"/>
    <w:rsid w:val="00EE5D7E"/>
    <w:rsid w:val="00F1199C"/>
    <w:rsid w:val="00F35C62"/>
    <w:rsid w:val="00F363E3"/>
    <w:rsid w:val="00F417F9"/>
    <w:rsid w:val="00F435F2"/>
    <w:rsid w:val="00F530B0"/>
    <w:rsid w:val="00F655BD"/>
    <w:rsid w:val="00F869B7"/>
    <w:rsid w:val="00F9304A"/>
    <w:rsid w:val="00FA1C43"/>
    <w:rsid w:val="00FB57CE"/>
    <w:rsid w:val="00FC19F9"/>
    <w:rsid w:val="00FD565B"/>
    <w:rsid w:val="00FD57E9"/>
    <w:rsid w:val="00FD7126"/>
    <w:rsid w:val="00FD782D"/>
    <w:rsid w:val="00FE0455"/>
    <w:rsid w:val="00FF5552"/>
    <w:rsid w:val="00FF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388D8"/>
  <w15:chartTrackingRefBased/>
  <w15:docId w15:val="{C7AB795C-1F87-4FFD-B305-3B966570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466"/>
    <w:pPr>
      <w:widowControl w:val="0"/>
    </w:pPr>
  </w:style>
  <w:style w:type="paragraph" w:styleId="1">
    <w:name w:val="heading 1"/>
    <w:basedOn w:val="a"/>
    <w:next w:val="a"/>
    <w:link w:val="10"/>
    <w:uiPriority w:val="9"/>
    <w:qFormat/>
    <w:rsid w:val="00C76B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76B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76B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6B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6B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6B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6B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6B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6B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6B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76B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76B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6B73"/>
    <w:rPr>
      <w:rFonts w:cstheme="majorBidi"/>
      <w:color w:val="0F4761" w:themeColor="accent1" w:themeShade="BF"/>
      <w:sz w:val="28"/>
      <w:szCs w:val="28"/>
    </w:rPr>
  </w:style>
  <w:style w:type="character" w:customStyle="1" w:styleId="50">
    <w:name w:val="标题 5 字符"/>
    <w:basedOn w:val="a0"/>
    <w:link w:val="5"/>
    <w:uiPriority w:val="9"/>
    <w:semiHidden/>
    <w:rsid w:val="00C76B73"/>
    <w:rPr>
      <w:rFonts w:cstheme="majorBidi"/>
      <w:color w:val="0F4761" w:themeColor="accent1" w:themeShade="BF"/>
      <w:sz w:val="24"/>
    </w:rPr>
  </w:style>
  <w:style w:type="character" w:customStyle="1" w:styleId="60">
    <w:name w:val="标题 6 字符"/>
    <w:basedOn w:val="a0"/>
    <w:link w:val="6"/>
    <w:uiPriority w:val="9"/>
    <w:semiHidden/>
    <w:rsid w:val="00C76B73"/>
    <w:rPr>
      <w:rFonts w:cstheme="majorBidi"/>
      <w:b/>
      <w:bCs/>
      <w:color w:val="0F4761" w:themeColor="accent1" w:themeShade="BF"/>
    </w:rPr>
  </w:style>
  <w:style w:type="character" w:customStyle="1" w:styleId="70">
    <w:name w:val="标题 7 字符"/>
    <w:basedOn w:val="a0"/>
    <w:link w:val="7"/>
    <w:uiPriority w:val="9"/>
    <w:semiHidden/>
    <w:rsid w:val="00C76B73"/>
    <w:rPr>
      <w:rFonts w:cstheme="majorBidi"/>
      <w:b/>
      <w:bCs/>
      <w:color w:val="595959" w:themeColor="text1" w:themeTint="A6"/>
    </w:rPr>
  </w:style>
  <w:style w:type="character" w:customStyle="1" w:styleId="80">
    <w:name w:val="标题 8 字符"/>
    <w:basedOn w:val="a0"/>
    <w:link w:val="8"/>
    <w:uiPriority w:val="9"/>
    <w:semiHidden/>
    <w:rsid w:val="00C76B73"/>
    <w:rPr>
      <w:rFonts w:cstheme="majorBidi"/>
      <w:color w:val="595959" w:themeColor="text1" w:themeTint="A6"/>
    </w:rPr>
  </w:style>
  <w:style w:type="character" w:customStyle="1" w:styleId="90">
    <w:name w:val="标题 9 字符"/>
    <w:basedOn w:val="a0"/>
    <w:link w:val="9"/>
    <w:uiPriority w:val="9"/>
    <w:semiHidden/>
    <w:rsid w:val="00C76B73"/>
    <w:rPr>
      <w:rFonts w:eastAsiaTheme="majorEastAsia" w:cstheme="majorBidi"/>
      <w:color w:val="595959" w:themeColor="text1" w:themeTint="A6"/>
    </w:rPr>
  </w:style>
  <w:style w:type="paragraph" w:styleId="a3">
    <w:name w:val="Title"/>
    <w:basedOn w:val="a"/>
    <w:next w:val="a"/>
    <w:link w:val="a4"/>
    <w:uiPriority w:val="10"/>
    <w:qFormat/>
    <w:rsid w:val="00C76B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6B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B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6B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6B73"/>
    <w:pPr>
      <w:spacing w:before="160"/>
      <w:jc w:val="center"/>
    </w:pPr>
    <w:rPr>
      <w:i/>
      <w:iCs/>
      <w:color w:val="404040" w:themeColor="text1" w:themeTint="BF"/>
    </w:rPr>
  </w:style>
  <w:style w:type="character" w:customStyle="1" w:styleId="a8">
    <w:name w:val="引用 字符"/>
    <w:basedOn w:val="a0"/>
    <w:link w:val="a7"/>
    <w:uiPriority w:val="29"/>
    <w:rsid w:val="00C76B73"/>
    <w:rPr>
      <w:i/>
      <w:iCs/>
      <w:color w:val="404040" w:themeColor="text1" w:themeTint="BF"/>
    </w:rPr>
  </w:style>
  <w:style w:type="paragraph" w:styleId="a9">
    <w:name w:val="List Paragraph"/>
    <w:basedOn w:val="a"/>
    <w:uiPriority w:val="34"/>
    <w:qFormat/>
    <w:rsid w:val="00C76B73"/>
    <w:pPr>
      <w:ind w:left="720"/>
      <w:contextualSpacing/>
    </w:pPr>
  </w:style>
  <w:style w:type="character" w:styleId="aa">
    <w:name w:val="Intense Emphasis"/>
    <w:basedOn w:val="a0"/>
    <w:uiPriority w:val="21"/>
    <w:qFormat/>
    <w:rsid w:val="00C76B73"/>
    <w:rPr>
      <w:i/>
      <w:iCs/>
      <w:color w:val="0F4761" w:themeColor="accent1" w:themeShade="BF"/>
    </w:rPr>
  </w:style>
  <w:style w:type="paragraph" w:styleId="ab">
    <w:name w:val="Intense Quote"/>
    <w:basedOn w:val="a"/>
    <w:next w:val="a"/>
    <w:link w:val="ac"/>
    <w:uiPriority w:val="30"/>
    <w:qFormat/>
    <w:rsid w:val="00C76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6B73"/>
    <w:rPr>
      <w:i/>
      <w:iCs/>
      <w:color w:val="0F4761" w:themeColor="accent1" w:themeShade="BF"/>
    </w:rPr>
  </w:style>
  <w:style w:type="character" w:styleId="ad">
    <w:name w:val="Intense Reference"/>
    <w:basedOn w:val="a0"/>
    <w:uiPriority w:val="32"/>
    <w:qFormat/>
    <w:rsid w:val="00C76B73"/>
    <w:rPr>
      <w:b/>
      <w:bCs/>
      <w:smallCaps/>
      <w:color w:val="0F4761" w:themeColor="accent1" w:themeShade="BF"/>
      <w:spacing w:val="5"/>
    </w:rPr>
  </w:style>
  <w:style w:type="table" w:styleId="ae">
    <w:name w:val="Table Grid"/>
    <w:basedOn w:val="a1"/>
    <w:uiPriority w:val="39"/>
    <w:rsid w:val="00B84FB9"/>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D14A2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D14A28"/>
    <w:rPr>
      <w:sz w:val="18"/>
      <w:szCs w:val="18"/>
    </w:rPr>
  </w:style>
  <w:style w:type="paragraph" w:styleId="af1">
    <w:name w:val="footer"/>
    <w:basedOn w:val="a"/>
    <w:link w:val="af2"/>
    <w:uiPriority w:val="99"/>
    <w:unhideWhenUsed/>
    <w:rsid w:val="00D14A28"/>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D14A28"/>
    <w:rPr>
      <w:sz w:val="18"/>
      <w:szCs w:val="18"/>
    </w:rPr>
  </w:style>
  <w:style w:type="paragraph" w:styleId="af3">
    <w:name w:val="Normal (Web)"/>
    <w:basedOn w:val="a"/>
    <w:uiPriority w:val="99"/>
    <w:semiHidden/>
    <w:unhideWhenUsed/>
    <w:rsid w:val="00B45F02"/>
    <w:rPr>
      <w:rFonts w:ascii="Times New Roman" w:hAnsi="Times New Roman" w:cs="Times New Roman"/>
      <w:sz w:val="24"/>
    </w:rPr>
  </w:style>
  <w:style w:type="character" w:styleId="af4">
    <w:name w:val="annotation reference"/>
    <w:basedOn w:val="a0"/>
    <w:uiPriority w:val="99"/>
    <w:semiHidden/>
    <w:unhideWhenUsed/>
    <w:rsid w:val="00583AA0"/>
    <w:rPr>
      <w:sz w:val="21"/>
      <w:szCs w:val="21"/>
    </w:rPr>
  </w:style>
  <w:style w:type="paragraph" w:styleId="af5">
    <w:name w:val="annotation text"/>
    <w:basedOn w:val="a"/>
    <w:link w:val="af6"/>
    <w:uiPriority w:val="99"/>
    <w:unhideWhenUsed/>
    <w:rsid w:val="00583AA0"/>
  </w:style>
  <w:style w:type="character" w:customStyle="1" w:styleId="af6">
    <w:name w:val="批注文字 字符"/>
    <w:basedOn w:val="a0"/>
    <w:link w:val="af5"/>
    <w:uiPriority w:val="99"/>
    <w:rsid w:val="00583AA0"/>
  </w:style>
  <w:style w:type="paragraph" w:styleId="af7">
    <w:name w:val="annotation subject"/>
    <w:basedOn w:val="af5"/>
    <w:next w:val="af5"/>
    <w:link w:val="af8"/>
    <w:uiPriority w:val="99"/>
    <w:semiHidden/>
    <w:unhideWhenUsed/>
    <w:rsid w:val="00583AA0"/>
    <w:rPr>
      <w:b/>
      <w:bCs/>
    </w:rPr>
  </w:style>
  <w:style w:type="character" w:customStyle="1" w:styleId="af8">
    <w:name w:val="批注主题 字符"/>
    <w:basedOn w:val="af6"/>
    <w:link w:val="af7"/>
    <w:uiPriority w:val="99"/>
    <w:semiHidden/>
    <w:rsid w:val="00583AA0"/>
    <w:rPr>
      <w:b/>
      <w:bCs/>
    </w:rPr>
  </w:style>
  <w:style w:type="paragraph" w:styleId="af9">
    <w:name w:val="Balloon Text"/>
    <w:basedOn w:val="a"/>
    <w:link w:val="afa"/>
    <w:uiPriority w:val="99"/>
    <w:semiHidden/>
    <w:unhideWhenUsed/>
    <w:rsid w:val="00583AA0"/>
    <w:pPr>
      <w:spacing w:after="0" w:line="240" w:lineRule="auto"/>
    </w:pPr>
    <w:rPr>
      <w:sz w:val="18"/>
      <w:szCs w:val="18"/>
    </w:rPr>
  </w:style>
  <w:style w:type="character" w:customStyle="1" w:styleId="afa">
    <w:name w:val="批注框文本 字符"/>
    <w:basedOn w:val="a0"/>
    <w:link w:val="af9"/>
    <w:uiPriority w:val="99"/>
    <w:semiHidden/>
    <w:rsid w:val="00583AA0"/>
    <w:rPr>
      <w:sz w:val="18"/>
      <w:szCs w:val="18"/>
    </w:rPr>
  </w:style>
  <w:style w:type="character" w:styleId="afb">
    <w:name w:val="Hyperlink"/>
    <w:basedOn w:val="a0"/>
    <w:uiPriority w:val="99"/>
    <w:unhideWhenUsed/>
    <w:rsid w:val="005753D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3390/computation10080138" TargetMode="External"/><Relationship Id="rId26" Type="http://schemas.openxmlformats.org/officeDocument/2006/relationships/hyperlink" Target="https://doi.org/10.3390/pr13010133" TargetMode="External"/><Relationship Id="rId39" Type="http://schemas.openxmlformats.org/officeDocument/2006/relationships/hyperlink" Target="https://doi.org/10.1016/j.geoen.2023.212528" TargetMode="External"/><Relationship Id="rId21" Type="http://schemas.openxmlformats.org/officeDocument/2006/relationships/hyperlink" Target="https://doi.org/10.1016/j.gsf.2023.101772" TargetMode="External"/><Relationship Id="rId34" Type="http://schemas.openxmlformats.org/officeDocument/2006/relationships/hyperlink" Target="https://doi.org/10.1016/j.petsci.2024.02.018" TargetMode="External"/><Relationship Id="rId42" Type="http://schemas.openxmlformats.org/officeDocument/2006/relationships/hyperlink" Target="http://doi.org/10.26599/TST.2025.9010051" TargetMode="External"/><Relationship Id="rId47" Type="http://schemas.openxmlformats.org/officeDocument/2006/relationships/hyperlink" Target="https://doi.org/10.3390/pr12010110" TargetMode="External"/><Relationship Id="rId50" Type="http://schemas.openxmlformats.org/officeDocument/2006/relationships/hyperlink" Target="https://doi.org/10.1109/JIOT.2021.3127873" TargetMode="External"/><Relationship Id="rId55" Type="http://schemas.openxmlformats.org/officeDocument/2006/relationships/hyperlink" Target="https://doi.org/10.1016/j.bcra.2025.100425"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hyperlink" Target="https://doi.org/10.2118/211116-MS" TargetMode="External"/><Relationship Id="rId11" Type="http://schemas.openxmlformats.org/officeDocument/2006/relationships/image" Target="media/image2.png"/><Relationship Id="rId24" Type="http://schemas.openxmlformats.org/officeDocument/2006/relationships/hyperlink" Target="https://doi.org/10.1016/j.petrol.2021.109633" TargetMode="External"/><Relationship Id="rId32" Type="http://schemas.openxmlformats.org/officeDocument/2006/relationships/hyperlink" Target="https://doi.org/10.1016/j.procs.2025.08.162" TargetMode="External"/><Relationship Id="rId37" Type="http://schemas.openxmlformats.org/officeDocument/2006/relationships/hyperlink" Target="https://doi.org/10.1016/j.petlm.2025.11.005" TargetMode="External"/><Relationship Id="rId40" Type="http://schemas.openxmlformats.org/officeDocument/2006/relationships/hyperlink" Target="https://doi.org/10.3390/app132212267" TargetMode="External"/><Relationship Id="rId45" Type="http://schemas.openxmlformats.org/officeDocument/2006/relationships/hyperlink" Target="https://doi.org/10.2523/IPTC-19418-MS" TargetMode="External"/><Relationship Id="rId53" Type="http://schemas.openxmlformats.org/officeDocument/2006/relationships/hyperlink" Target="https://doi.org/10.1016/j.autcon.2024.105302" TargetMode="External"/><Relationship Id="rId58" Type="http://schemas.openxmlformats.org/officeDocument/2006/relationships/hyperlink" Target="https://doi.org/10.62225/2583049X.2023.3.6.5388" TargetMode="External"/><Relationship Id="rId5" Type="http://schemas.openxmlformats.org/officeDocument/2006/relationships/footnotes" Target="footnotes.xml"/><Relationship Id="rId61" Type="http://schemas.microsoft.com/office/2011/relationships/people" Target="people.xml"/><Relationship Id="rId19" Type="http://schemas.openxmlformats.org/officeDocument/2006/relationships/image" Target="media/image8.jpeg"/><Relationship Id="rId14" Type="http://schemas.openxmlformats.org/officeDocument/2006/relationships/hyperlink" Target="https://doi.org/10.1016/j.petrol.2021.109633" TargetMode="External"/><Relationship Id="rId22" Type="http://schemas.openxmlformats.org/officeDocument/2006/relationships/hyperlink" Target="https://doi.org/10.2118/195095-MS" TargetMode="External"/><Relationship Id="rId27" Type="http://schemas.openxmlformats.org/officeDocument/2006/relationships/hyperlink" Target="http://doi.org/10.1109/ICRAMET.2017.8253159" TargetMode="External"/><Relationship Id="rId30" Type="http://schemas.openxmlformats.org/officeDocument/2006/relationships/hyperlink" Target="https://doi.org/10.1016/j.robot.2015.09.013" TargetMode="External"/><Relationship Id="rId35" Type="http://schemas.openxmlformats.org/officeDocument/2006/relationships/hyperlink" Target="https://doi.org/10.1016/j.petrol.2020.107879" TargetMode="External"/><Relationship Id="rId43" Type="http://schemas.openxmlformats.org/officeDocument/2006/relationships/hyperlink" Target="https://doi.org/10.3390/ecsa-11-20501" TargetMode="External"/><Relationship Id="rId48" Type="http://schemas.openxmlformats.org/officeDocument/2006/relationships/hyperlink" Target="http://doi.org/10.2118/227966-ms" TargetMode="External"/><Relationship Id="rId56" Type="http://schemas.openxmlformats.org/officeDocument/2006/relationships/hyperlink" Target="http://doi.org/10.20944/preprints202506.2515.v1" TargetMode="External"/><Relationship Id="rId8" Type="http://schemas.microsoft.com/office/2011/relationships/commentsExtended" Target="commentsExtended.xml"/><Relationship Id="rId51" Type="http://schemas.openxmlformats.org/officeDocument/2006/relationships/hyperlink" Target="https://doi.org/10.63125/53crx355"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hyperlink" Target="https://doi.org/10.1016/j.jappgeo.2018.09.013" TargetMode="External"/><Relationship Id="rId33" Type="http://schemas.openxmlformats.org/officeDocument/2006/relationships/hyperlink" Target="https://doi.org/10.1016/j.aiig.2025.100126" TargetMode="External"/><Relationship Id="rId38" Type="http://schemas.openxmlformats.org/officeDocument/2006/relationships/hyperlink" Target="https://doi.org/10.1016/S1876-3804(25)60607-0" TargetMode="External"/><Relationship Id="rId46" Type="http://schemas.openxmlformats.org/officeDocument/2006/relationships/hyperlink" Target="https://doi.org/10.1007/s13202-022-01490-5" TargetMode="External"/><Relationship Id="rId59" Type="http://schemas.openxmlformats.org/officeDocument/2006/relationships/hyperlink" Target="http://doi.org/10.36227/techrxiv.175979241.11582889/v1" TargetMode="External"/><Relationship Id="rId20" Type="http://schemas.openxmlformats.org/officeDocument/2006/relationships/hyperlink" Target="https://doi.org/10.1360/SSPMA2017-00286" TargetMode="External"/><Relationship Id="rId41" Type="http://schemas.openxmlformats.org/officeDocument/2006/relationships/hyperlink" Target="https://doi.org/10.1038/s41598-025-21696-x" TargetMode="External"/><Relationship Id="rId54" Type="http://schemas.openxmlformats.org/officeDocument/2006/relationships/hyperlink" Target="https://doi.org/10.1007/s41403-024-00464-9"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4018/979-8-3693-8156-4.ch004" TargetMode="External"/><Relationship Id="rId28" Type="http://schemas.openxmlformats.org/officeDocument/2006/relationships/hyperlink" Target="https://doi.org/10.1016/j.bcra.2025.100425" TargetMode="External"/><Relationship Id="rId36" Type="http://schemas.openxmlformats.org/officeDocument/2006/relationships/hyperlink" Target="https://doi.org/10.2118/196355-MS" TargetMode="External"/><Relationship Id="rId49" Type="http://schemas.openxmlformats.org/officeDocument/2006/relationships/hyperlink" Target="https://doi.org/10.2118/203951-PA" TargetMode="External"/><Relationship Id="rId57" Type="http://schemas.openxmlformats.org/officeDocument/2006/relationships/hyperlink" Target="https://doi.org/10.1016/j.bcra.2025.100425" TargetMode="External"/><Relationship Id="rId10" Type="http://schemas.openxmlformats.org/officeDocument/2006/relationships/image" Target="media/image1.jpeg"/><Relationship Id="rId31" Type="http://schemas.openxmlformats.org/officeDocument/2006/relationships/hyperlink" Target="http://doi.org/10.6919/ICJE.202305_9(5).0043" TargetMode="External"/><Relationship Id="rId44" Type="http://schemas.openxmlformats.org/officeDocument/2006/relationships/hyperlink" Target="https://doi.org/10.1109/ICKECS61492.2024.10616500" TargetMode="External"/><Relationship Id="rId52" Type="http://schemas.openxmlformats.org/officeDocument/2006/relationships/hyperlink" Target="https://doi.org/10.1007/s44196-025-00924-2"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20</Pages>
  <Words>3089</Words>
  <Characters>17612</Characters>
  <Application>Microsoft Office Word</Application>
  <DocSecurity>0</DocSecurity>
  <Lines>146</Lines>
  <Paragraphs>41</Paragraphs>
  <ScaleCrop>false</ScaleCrop>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-Linux 视窗</dc:creator>
  <cp:keywords/>
  <dc:description/>
  <cp:lastModifiedBy>-Linux 视窗</cp:lastModifiedBy>
  <cp:revision>13</cp:revision>
  <dcterms:created xsi:type="dcterms:W3CDTF">2026-01-28T07:53:00Z</dcterms:created>
  <dcterms:modified xsi:type="dcterms:W3CDTF">2026-03-09T12:44:00Z</dcterms:modified>
</cp:coreProperties>
</file>