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page-caractéristiques-techniques"/>
    <w:p>
      <w:pPr>
        <w:pStyle w:val="Heading1"/>
      </w:pPr>
      <w:r>
        <w:t xml:space="preserve">Page — Caractéristiques techniques</w:t>
      </w:r>
    </w:p>
    <w:bookmarkStart w:id="11" w:name="header-intro"/>
    <w:p>
      <w:pPr>
        <w:pStyle w:val="Heading2"/>
      </w:pPr>
      <w:r>
        <w:t xml:space="preserve">1. Header / intro</w:t>
      </w:r>
    </w:p>
    <w:bookmarkStart w:id="9" w:name="titre"/>
    <w:p>
      <w:pPr>
        <w:pStyle w:val="Heading3"/>
      </w:pPr>
      <w:r>
        <w:t xml:space="preserve">Titre</w:t>
      </w:r>
    </w:p>
    <w:p>
      <w:pPr>
        <w:pStyle w:val="FirstParagraph"/>
      </w:pPr>
      <w:r>
        <w:rPr>
          <w:b/>
          <w:bCs/>
        </w:rPr>
        <w:t xml:space="preserve">Les caractéristiques techniques de Q-Bot</w:t>
      </w:r>
    </w:p>
    <w:bookmarkEnd w:id="9"/>
    <w:bookmarkStart w:id="10" w:name="texte"/>
    <w:p>
      <w:pPr>
        <w:pStyle w:val="Heading3"/>
      </w:pPr>
      <w:r>
        <w:t xml:space="preserve">Texte</w:t>
      </w:r>
    </w:p>
    <w:p>
      <w:pPr>
        <w:pStyle w:val="FirstParagraph"/>
      </w:pPr>
      <w:r>
        <w:t xml:space="preserve">Q-Bot est un boîtier autonome conçu pour automatiser les étapes de double authentification sur un véritable smartphone Android. Il s’intègre à vos chaînes de tests via une interface web et une API REST.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format-compact"/>
    <w:p>
      <w:pPr>
        <w:pStyle w:val="Heading2"/>
      </w:pPr>
      <w:r>
        <w:t xml:space="preserve">2. Format compact</w:t>
      </w:r>
    </w:p>
    <w:bookmarkStart w:id="12" w:name="titre-1"/>
    <w:p>
      <w:pPr>
        <w:pStyle w:val="Heading3"/>
      </w:pPr>
      <w:r>
        <w:t xml:space="preserve">Titre</w:t>
      </w:r>
    </w:p>
    <w:p>
      <w:pPr>
        <w:pStyle w:val="FirstParagraph"/>
      </w:pPr>
      <w:r>
        <w:rPr>
          <w:b/>
          <w:bCs/>
        </w:rPr>
        <w:t xml:space="preserve">Un format compact</w:t>
      </w:r>
    </w:p>
    <w:bookmarkEnd w:id="12"/>
    <w:bookmarkStart w:id="13" w:name="texte-1"/>
    <w:p>
      <w:pPr>
        <w:pStyle w:val="Heading3"/>
      </w:pPr>
      <w:r>
        <w:t xml:space="preserve">Texte</w:t>
      </w:r>
    </w:p>
    <w:p>
      <w:pPr>
        <w:pStyle w:val="FirstParagraph"/>
      </w:pPr>
      <w:r>
        <w:t xml:space="preserve">Q-Bot s’installe directement sur un poste de travail et intègre le smartphone utilisé pour les scénarios de test.</w:t>
      </w:r>
    </w:p>
    <w:bookmarkEnd w:id="13"/>
    <w:bookmarkStart w:id="14" w:name="informations-à-afficher"/>
    <w:p>
      <w:pPr>
        <w:pStyle w:val="Heading3"/>
      </w:pPr>
      <w:r>
        <w:t xml:space="preserve">Informations à afficher</w:t>
      </w:r>
    </w:p>
    <w:p>
      <w:pPr>
        <w:pStyle w:val="Compact"/>
        <w:numPr>
          <w:ilvl w:val="0"/>
          <w:numId w:val="1001"/>
        </w:numPr>
      </w:pPr>
      <w:r>
        <w:t xml:space="preserve">Longueur :</w:t>
      </w:r>
      <w:r>
        <w:t xml:space="preserve"> </w:t>
      </w:r>
      <w:r>
        <w:rPr>
          <w:b/>
          <w:bCs/>
        </w:rPr>
        <w:t xml:space="preserve">20 cm</w:t>
      </w:r>
    </w:p>
    <w:p>
      <w:pPr>
        <w:pStyle w:val="Compact"/>
        <w:numPr>
          <w:ilvl w:val="0"/>
          <w:numId w:val="1001"/>
        </w:numPr>
      </w:pPr>
      <w:r>
        <w:t xml:space="preserve">Largeur :</w:t>
      </w:r>
      <w:r>
        <w:t xml:space="preserve"> </w:t>
      </w:r>
      <w:r>
        <w:rPr>
          <w:b/>
          <w:bCs/>
        </w:rPr>
        <w:t xml:space="preserve">11 cm</w:t>
      </w:r>
    </w:p>
    <w:p>
      <w:pPr>
        <w:pStyle w:val="Compact"/>
        <w:numPr>
          <w:ilvl w:val="0"/>
          <w:numId w:val="1001"/>
        </w:numPr>
      </w:pPr>
      <w:r>
        <w:t xml:space="preserve">Hauteur :</w:t>
      </w:r>
      <w:r>
        <w:t xml:space="preserve"> </w:t>
      </w:r>
      <w:r>
        <w:rPr>
          <w:b/>
          <w:bCs/>
        </w:rPr>
        <w:t xml:space="preserve">15 cm</w:t>
      </w:r>
    </w:p>
    <w:bookmarkEnd w:id="14"/>
    <w:bookmarkStart w:id="15" w:name="suggestion-visuelle"/>
    <w:p>
      <w:pPr>
        <w:pStyle w:val="Heading3"/>
      </w:pPr>
      <w:r>
        <w:t xml:space="preserve">Suggestion visuelle</w:t>
      </w:r>
    </w:p>
    <w:p>
      <w:pPr>
        <w:pStyle w:val="FirstParagraph"/>
      </w:pPr>
      <w:r>
        <w:t xml:space="preserve">Prévoir un visuel du boîtier avec les dimensions annotées.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configuration-matérielle"/>
    <w:p>
      <w:pPr>
        <w:pStyle w:val="Heading2"/>
      </w:pPr>
      <w:r>
        <w:t xml:space="preserve">3. Configuration matérielle</w:t>
      </w:r>
    </w:p>
    <w:bookmarkStart w:id="17" w:name="titre-2"/>
    <w:p>
      <w:pPr>
        <w:pStyle w:val="Heading3"/>
      </w:pPr>
      <w:r>
        <w:t xml:space="preserve">Titre</w:t>
      </w:r>
    </w:p>
    <w:p>
      <w:pPr>
        <w:pStyle w:val="FirstParagraph"/>
      </w:pPr>
      <w:r>
        <w:rPr>
          <w:b/>
          <w:bCs/>
        </w:rPr>
        <w:t xml:space="preserve">Configuration matérielle</w:t>
      </w:r>
    </w:p>
    <w:bookmarkEnd w:id="17"/>
    <w:bookmarkStart w:id="18" w:name="X1c51171310173e20682bc648fc9fc0c498784f1"/>
    <w:p>
      <w:pPr>
        <w:pStyle w:val="Heading3"/>
      </w:pPr>
      <w:r>
        <w:t xml:space="preserve">Informations à présenter sous forme de cartes ou de grille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Raspberry Pi 5</w:t>
      </w:r>
    </w:p>
    <w:p>
      <w:pPr>
        <w:pStyle w:val="Compact"/>
        <w:numPr>
          <w:ilvl w:val="0"/>
          <w:numId w:val="1002"/>
        </w:numPr>
      </w:pPr>
      <w:r>
        <w:t xml:space="preserve">Processeur</w:t>
      </w:r>
      <w:r>
        <w:t xml:space="preserve"> </w:t>
      </w:r>
      <w:r>
        <w:rPr>
          <w:b/>
          <w:bCs/>
        </w:rPr>
        <w:t xml:space="preserve">Cortex-A76</w:t>
      </w:r>
    </w:p>
    <w:p>
      <w:pPr>
        <w:pStyle w:val="Compact"/>
        <w:numPr>
          <w:ilvl w:val="0"/>
          <w:numId w:val="1002"/>
        </w:numPr>
      </w:pPr>
      <w:r>
        <w:t xml:space="preserve">Mémoire :</w:t>
      </w:r>
      <w:r>
        <w:t xml:space="preserve"> </w:t>
      </w:r>
      <w:r>
        <w:rPr>
          <w:b/>
          <w:bCs/>
        </w:rPr>
        <w:t xml:space="preserve">4 Go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Wi-Fi 802.11ac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Bluetooth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Ethernet Gigabit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Raspberry Pi OS Lite</w:t>
      </w:r>
    </w:p>
    <w:p>
      <w:pPr>
        <w:pStyle w:val="Compact"/>
        <w:numPr>
          <w:ilvl w:val="0"/>
          <w:numId w:val="1002"/>
        </w:numPr>
      </w:pPr>
      <w:r>
        <w:t xml:space="preserve">Écran intégré pour l’affichage de QR codes</w:t>
      </w:r>
    </w:p>
    <w:p>
      <w:pPr>
        <w:pStyle w:val="Compact"/>
        <w:numPr>
          <w:ilvl w:val="0"/>
          <w:numId w:val="1002"/>
        </w:numPr>
      </w:pPr>
      <w:r>
        <w:t xml:space="preserve">Connexion du smartphone en</w:t>
      </w:r>
      <w:r>
        <w:t xml:space="preserve"> </w:t>
      </w:r>
      <w:r>
        <w:rPr>
          <w:b/>
          <w:bCs/>
        </w:rPr>
        <w:t xml:space="preserve">USB</w:t>
      </w:r>
    </w:p>
    <w:bookmarkEnd w:id="18"/>
    <w:bookmarkStart w:id="19" w:name="suggestion-visuelle-1"/>
    <w:p>
      <w:pPr>
        <w:pStyle w:val="Heading3"/>
      </w:pPr>
      <w:r>
        <w:t xml:space="preserve">Suggestion visuelle</w:t>
      </w:r>
    </w:p>
    <w:p>
      <w:pPr>
        <w:pStyle w:val="FirstParagraph"/>
      </w:pPr>
      <w:r>
        <w:t xml:space="preserve">Éviter un long tableau. Préférer des pictogrammes ou une grille de caractéristiques.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éditeur-visuel-de-scénarios"/>
    <w:p>
      <w:pPr>
        <w:pStyle w:val="Heading2"/>
      </w:pPr>
      <w:r>
        <w:t xml:space="preserve">4. Éditeur visuel de scénarios</w:t>
      </w:r>
    </w:p>
    <w:bookmarkStart w:id="21" w:name="titre-3"/>
    <w:p>
      <w:pPr>
        <w:pStyle w:val="Heading3"/>
      </w:pPr>
      <w:r>
        <w:t xml:space="preserve">Titre</w:t>
      </w:r>
    </w:p>
    <w:p>
      <w:pPr>
        <w:pStyle w:val="FirstParagraph"/>
      </w:pPr>
      <w:r>
        <w:rPr>
          <w:b/>
          <w:bCs/>
        </w:rPr>
        <w:t xml:space="preserve">Éditeur visuel de scénarios</w:t>
      </w:r>
    </w:p>
    <w:bookmarkEnd w:id="21"/>
    <w:bookmarkStart w:id="22" w:name="texte-2"/>
    <w:p>
      <w:pPr>
        <w:pStyle w:val="Heading3"/>
      </w:pPr>
      <w:r>
        <w:t xml:space="preserve">Texte</w:t>
      </w:r>
    </w:p>
    <w:p>
      <w:pPr>
        <w:pStyle w:val="FirstParagraph"/>
      </w:pPr>
      <w:r>
        <w:t xml:space="preserve">Les scénarios sont créés depuis l’interface web de Q-Bot à partir de captures d’écran de l’application mobile.</w:t>
      </w:r>
    </w:p>
    <w:bookmarkEnd w:id="22"/>
    <w:bookmarkStart w:id="23" w:name="fonctions-à-afficher"/>
    <w:p>
      <w:pPr>
        <w:pStyle w:val="Heading3"/>
      </w:pPr>
      <w:r>
        <w:t xml:space="preserve">Fonctions à afficher</w:t>
      </w:r>
    </w:p>
    <w:p>
      <w:pPr>
        <w:pStyle w:val="Compact"/>
        <w:numPr>
          <w:ilvl w:val="0"/>
          <w:numId w:val="1003"/>
        </w:numPr>
      </w:pPr>
      <w:r>
        <w:t xml:space="preserve">Définir les points d’interaction</w:t>
      </w:r>
    </w:p>
    <w:p>
      <w:pPr>
        <w:pStyle w:val="Compact"/>
        <w:numPr>
          <w:ilvl w:val="0"/>
          <w:numId w:val="1003"/>
        </w:numPr>
      </w:pPr>
      <w:r>
        <w:t xml:space="preserve">Régler les temps d’attente</w:t>
      </w:r>
    </w:p>
    <w:p>
      <w:pPr>
        <w:pStyle w:val="Compact"/>
        <w:numPr>
          <w:ilvl w:val="0"/>
          <w:numId w:val="1003"/>
        </w:numPr>
      </w:pPr>
      <w:r>
        <w:t xml:space="preserve">Ajouter des étapes</w:t>
      </w:r>
    </w:p>
    <w:p>
      <w:pPr>
        <w:pStyle w:val="Compact"/>
        <w:numPr>
          <w:ilvl w:val="0"/>
          <w:numId w:val="1003"/>
        </w:numPr>
      </w:pPr>
      <w:r>
        <w:t xml:space="preserve">Réordonner les étapes</w:t>
      </w:r>
    </w:p>
    <w:p>
      <w:pPr>
        <w:pStyle w:val="Compact"/>
        <w:numPr>
          <w:ilvl w:val="0"/>
          <w:numId w:val="1003"/>
        </w:numPr>
      </w:pPr>
      <w:r>
        <w:t xml:space="preserve">Supprimer des étapes</w:t>
      </w:r>
    </w:p>
    <w:p>
      <w:pPr>
        <w:pStyle w:val="Compact"/>
        <w:numPr>
          <w:ilvl w:val="0"/>
          <w:numId w:val="1003"/>
        </w:numPr>
      </w:pPr>
      <w:r>
        <w:t xml:space="preserve">Enregistrer et réutiliser les scénarios</w:t>
      </w:r>
    </w:p>
    <w:bookmarkEnd w:id="23"/>
    <w:bookmarkStart w:id="24" w:name="texte-complémentaire"/>
    <w:p>
      <w:pPr>
        <w:pStyle w:val="Heading3"/>
      </w:pPr>
      <w:r>
        <w:t xml:space="preserve">Texte complémentaire</w:t>
      </w:r>
    </w:p>
    <w:p>
      <w:pPr>
        <w:pStyle w:val="FirstParagraph"/>
      </w:pPr>
      <w:r>
        <w:t xml:space="preserve">Les scénarios et leurs captures sont stockés localement sur Q-Bot.</w:t>
      </w:r>
    </w:p>
    <w:bookmarkEnd w:id="24"/>
    <w:bookmarkStart w:id="25" w:name="suggestion-visuelle-2"/>
    <w:p>
      <w:pPr>
        <w:pStyle w:val="Heading3"/>
      </w:pPr>
      <w:r>
        <w:t xml:space="preserve">Suggestion visuelle</w:t>
      </w:r>
    </w:p>
    <w:p>
      <w:pPr>
        <w:pStyle w:val="FirstParagraph"/>
      </w:pPr>
      <w:r>
        <w:t xml:space="preserve">Montrer une capture de l’éditeur de scénarios plutôt qu’une illustration générique.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interface-web-et-api-rest"/>
    <w:p>
      <w:pPr>
        <w:pStyle w:val="Heading2"/>
      </w:pPr>
      <w:r>
        <w:t xml:space="preserve">5. Interface web et API REST</w:t>
      </w:r>
    </w:p>
    <w:bookmarkStart w:id="27" w:name="titre-4"/>
    <w:p>
      <w:pPr>
        <w:pStyle w:val="Heading3"/>
      </w:pPr>
      <w:r>
        <w:t xml:space="preserve">Titre</w:t>
      </w:r>
    </w:p>
    <w:p>
      <w:pPr>
        <w:pStyle w:val="FirstParagraph"/>
      </w:pPr>
      <w:r>
        <w:rPr>
          <w:b/>
          <w:bCs/>
        </w:rPr>
        <w:t xml:space="preserve">Interface web et API REST</w:t>
      </w:r>
    </w:p>
    <w:bookmarkEnd w:id="27"/>
    <w:bookmarkStart w:id="28" w:name="texte-3"/>
    <w:p>
      <w:pPr>
        <w:pStyle w:val="Heading3"/>
      </w:pPr>
      <w:r>
        <w:t xml:space="preserve">Texte</w:t>
      </w:r>
    </w:p>
    <w:p>
      <w:pPr>
        <w:pStyle w:val="FirstParagraph"/>
      </w:pPr>
      <w:r>
        <w:t xml:space="preserve">Q-Bot peut être piloté depuis son interface web ou directement depuis votre chaîne de tests via son API REST.</w:t>
      </w:r>
    </w:p>
    <w:bookmarkEnd w:id="28"/>
    <w:bookmarkStart w:id="29" w:name="sous-titre"/>
    <w:p>
      <w:pPr>
        <w:pStyle w:val="Heading3"/>
      </w:pPr>
      <w:r>
        <w:t xml:space="preserve">Sous-titre</w:t>
      </w:r>
    </w:p>
    <w:p>
      <w:pPr>
        <w:pStyle w:val="FirstParagraph"/>
      </w:pPr>
      <w:r>
        <w:rPr>
          <w:b/>
          <w:bCs/>
        </w:rPr>
        <w:t xml:space="preserve">Principaux endpoints</w:t>
      </w:r>
    </w:p>
    <w:bookmarkEnd w:id="29"/>
    <w:bookmarkStart w:id="30" w:name="endpoint-1"/>
    <w:p>
      <w:pPr>
        <w:pStyle w:val="Heading3"/>
      </w:pPr>
      <w:r>
        <w:t xml:space="preserve">Endpoint 1</w:t>
      </w:r>
    </w:p>
    <w:p>
      <w:pPr>
        <w:pStyle w:val="FirstParagraph"/>
      </w:pPr>
      <w:r>
        <w:rPr>
          <w:rStyle w:val="VerbatimChar"/>
        </w:rPr>
        <w:t xml:space="preserve">GET /scenarios/:id/execute</w:t>
      </w:r>
    </w:p>
    <w:p>
      <w:pPr>
        <w:pStyle w:val="BodyText"/>
      </w:pPr>
      <w:r>
        <w:t xml:space="preserve">Exécute un scénario enregistré sur le smartphone connecté.</w:t>
      </w:r>
    </w:p>
    <w:bookmarkEnd w:id="30"/>
    <w:bookmarkStart w:id="31" w:name="endpoint-2"/>
    <w:p>
      <w:pPr>
        <w:pStyle w:val="Heading3"/>
      </w:pPr>
      <w:r>
        <w:t xml:space="preserve">Endpoint 2</w:t>
      </w:r>
    </w:p>
    <w:p>
      <w:pPr>
        <w:pStyle w:val="FirstParagraph"/>
      </w:pPr>
      <w:r>
        <w:rPr>
          <w:rStyle w:val="VerbatimChar"/>
        </w:rPr>
        <w:t xml:space="preserve">GET /get-luxtrust-otp</w:t>
      </w:r>
    </w:p>
    <w:p>
      <w:pPr>
        <w:pStyle w:val="BodyText"/>
      </w:pPr>
      <w:r>
        <w:t xml:space="preserve">Récupère le code à usage unique affiché dans LuxTrust Mobile.</w:t>
      </w:r>
    </w:p>
    <w:bookmarkEnd w:id="31"/>
    <w:bookmarkStart w:id="32" w:name="endpoint-3"/>
    <w:p>
      <w:pPr>
        <w:pStyle w:val="Heading3"/>
      </w:pPr>
      <w:r>
        <w:t xml:space="preserve">Endpoint 3</w:t>
      </w:r>
    </w:p>
    <w:p>
      <w:pPr>
        <w:pStyle w:val="FirstParagraph"/>
      </w:pPr>
      <w:r>
        <w:rPr>
          <w:rStyle w:val="VerbatimChar"/>
        </w:rPr>
        <w:t xml:space="preserve">POST /display-image</w:t>
      </w:r>
    </w:p>
    <w:p>
      <w:pPr>
        <w:pStyle w:val="BodyText"/>
      </w:pPr>
      <w:r>
        <w:t xml:space="preserve">Affiche une image ou un QR code sur l’écran intégré afin qu’il puisse être scanné par le smartphone.</w:t>
      </w:r>
    </w:p>
    <w:bookmarkEnd w:id="32"/>
    <w:bookmarkStart w:id="33" w:name="texte-complémentaire-1"/>
    <w:p>
      <w:pPr>
        <w:pStyle w:val="Heading3"/>
      </w:pPr>
      <w:r>
        <w:t xml:space="preserve">Texte complémentaire</w:t>
      </w:r>
    </w:p>
    <w:p>
      <w:pPr>
        <w:pStyle w:val="FirstParagraph"/>
      </w:pPr>
      <w:r>
        <w:t xml:space="preserve">L’API est accessible sur le réseau local et peut être appelée depuis tout outil capable d’effectuer une requête HTTP.</w:t>
      </w:r>
    </w:p>
    <w:bookmarkEnd w:id="33"/>
    <w:bookmarkStart w:id="34" w:name="information-courte-à-ajouter"/>
    <w:p>
      <w:pPr>
        <w:pStyle w:val="Heading3"/>
      </w:pPr>
      <w:r>
        <w:t xml:space="preserve">Information courte à ajouter</w:t>
      </w:r>
    </w:p>
    <w:p>
      <w:pPr>
        <w:pStyle w:val="FirstParagraph"/>
      </w:pPr>
      <w:r>
        <w:rPr>
          <w:b/>
          <w:bCs/>
        </w:rPr>
        <w:t xml:space="preserve">Modes de déclenchement : API REST ou application compagnon Android.</w:t>
      </w:r>
    </w:p>
    <w:bookmarkEnd w:id="34"/>
    <w:bookmarkStart w:id="35" w:name="cta-secondaire"/>
    <w:p>
      <w:pPr>
        <w:pStyle w:val="Heading3"/>
      </w:pPr>
      <w:r>
        <w:t xml:space="preserve">CTA secondaire</w:t>
      </w:r>
    </w:p>
    <w:p>
      <w:pPr>
        <w:pStyle w:val="FirstParagraph"/>
      </w:pPr>
      <w:r>
        <w:rPr>
          <w:b/>
          <w:bCs/>
        </w:rPr>
        <w:t xml:space="preserve">Voir le fonctionnement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données-et-confidentialité"/>
    <w:p>
      <w:pPr>
        <w:pStyle w:val="Heading2"/>
      </w:pPr>
      <w:r>
        <w:t xml:space="preserve">6. Données et confidentialité</w:t>
      </w:r>
    </w:p>
    <w:bookmarkStart w:id="37" w:name="titre-5"/>
    <w:p>
      <w:pPr>
        <w:pStyle w:val="Heading3"/>
      </w:pPr>
      <w:r>
        <w:t xml:space="preserve">Titre</w:t>
      </w:r>
    </w:p>
    <w:p>
      <w:pPr>
        <w:pStyle w:val="FirstParagraph"/>
      </w:pPr>
      <w:r>
        <w:rPr>
          <w:b/>
          <w:bCs/>
        </w:rPr>
        <w:t xml:space="preserve">Données et confidentialité</w:t>
      </w:r>
    </w:p>
    <w:bookmarkEnd w:id="37"/>
    <w:bookmarkStart w:id="38" w:name="bloc-1-stockage-local"/>
    <w:p>
      <w:pPr>
        <w:pStyle w:val="Heading3"/>
      </w:pPr>
      <w:r>
        <w:t xml:space="preserve">Bloc 1 — Stockage local</w:t>
      </w:r>
    </w:p>
    <w:p>
      <w:pPr>
        <w:pStyle w:val="FirstParagraph"/>
      </w:pPr>
      <w:r>
        <w:t xml:space="preserve">Les scénarios et leurs captures sont stockés directement sur Q-Bot. Aucun stockage cloud n’est nécessaire au fonctionnement du produit.</w:t>
      </w:r>
    </w:p>
    <w:bookmarkEnd w:id="38"/>
    <w:bookmarkStart w:id="39" w:name="bloc-2-réseau-local"/>
    <w:p>
      <w:pPr>
        <w:pStyle w:val="Heading3"/>
      </w:pPr>
      <w:r>
        <w:t xml:space="preserve">Bloc 2 — Réseau local</w:t>
      </w:r>
    </w:p>
    <w:p>
      <w:pPr>
        <w:pStyle w:val="FirstParagraph"/>
      </w:pPr>
      <w:r>
        <w:t xml:space="preserve">La communication entre Q-Bot et les outils de test s’effectue sur votre réseau interne.</w:t>
      </w:r>
    </w:p>
    <w:bookmarkEnd w:id="39"/>
    <w:bookmarkStart w:id="40" w:name="bloc-3-données-de-test"/>
    <w:p>
      <w:pPr>
        <w:pStyle w:val="Heading3"/>
      </w:pPr>
      <w:r>
        <w:t xml:space="preserve">Bloc 3 — Données de test</w:t>
      </w:r>
    </w:p>
    <w:p>
      <w:pPr>
        <w:pStyle w:val="FirstParagraph"/>
      </w:pPr>
      <w:r>
        <w:t xml:space="preserve">Q-Bot est destiné à être utilisé avec des données de test et non avec des données de production.</w:t>
      </w:r>
    </w:p>
    <w:bookmarkEnd w:id="40"/>
    <w:bookmarkStart w:id="41" w:name="suggestion-visuelle-3"/>
    <w:p>
      <w:pPr>
        <w:pStyle w:val="Heading3"/>
      </w:pPr>
      <w:r>
        <w:t xml:space="preserve">Suggestion visuelle</w:t>
      </w:r>
    </w:p>
    <w:p>
      <w:pPr>
        <w:pStyle w:val="FirstParagraph"/>
      </w:pPr>
      <w:r>
        <w:t xml:space="preserve">Présenter ces trois éléments sous forme de trois cartes simples :</w:t>
      </w:r>
      <w:r>
        <w:t xml:space="preserve"> </w:t>
      </w:r>
      <w:r>
        <w:rPr>
          <w:b/>
          <w:bCs/>
        </w:rPr>
        <w:t xml:space="preserve">Stockage local / Réseau interne / Données de test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compatibilité"/>
    <w:p>
      <w:pPr>
        <w:pStyle w:val="Heading2"/>
      </w:pPr>
      <w:r>
        <w:t xml:space="preserve">7. Compatibilité</w:t>
      </w:r>
    </w:p>
    <w:bookmarkStart w:id="43" w:name="titre-6"/>
    <w:p>
      <w:pPr>
        <w:pStyle w:val="Heading3"/>
      </w:pPr>
      <w:r>
        <w:t xml:space="preserve">Titre</w:t>
      </w:r>
    </w:p>
    <w:p>
      <w:pPr>
        <w:pStyle w:val="FirstParagraph"/>
      </w:pPr>
      <w:r>
        <w:rPr>
          <w:b/>
          <w:bCs/>
        </w:rPr>
        <w:t xml:space="preserve">Compatibilité</w:t>
      </w:r>
    </w:p>
    <w:bookmarkEnd w:id="43"/>
    <w:bookmarkStart w:id="44" w:name="colonne-1-applications-2fa"/>
    <w:p>
      <w:pPr>
        <w:pStyle w:val="Heading3"/>
      </w:pPr>
      <w:r>
        <w:t xml:space="preserve">Colonne 1 — Applications 2FA</w:t>
      </w:r>
    </w:p>
    <w:p>
      <w:pPr>
        <w:pStyle w:val="Compact"/>
        <w:numPr>
          <w:ilvl w:val="0"/>
          <w:numId w:val="1004"/>
        </w:numPr>
      </w:pPr>
      <w:r>
        <w:t xml:space="preserve">LuxTrust Mobile</w:t>
      </w:r>
    </w:p>
    <w:p>
      <w:pPr>
        <w:pStyle w:val="Compact"/>
        <w:numPr>
          <w:ilvl w:val="0"/>
          <w:numId w:val="1004"/>
        </w:numPr>
      </w:pPr>
      <w:r>
        <w:t xml:space="preserve">Microsoft Authenticator</w:t>
      </w:r>
    </w:p>
    <w:p>
      <w:pPr>
        <w:pStyle w:val="Compact"/>
        <w:numPr>
          <w:ilvl w:val="0"/>
          <w:numId w:val="1004"/>
        </w:numPr>
      </w:pPr>
      <w:r>
        <w:t xml:space="preserve">Google Authenticator</w:t>
      </w:r>
    </w:p>
    <w:p>
      <w:pPr>
        <w:pStyle w:val="Compact"/>
        <w:numPr>
          <w:ilvl w:val="0"/>
          <w:numId w:val="1004"/>
        </w:numPr>
      </w:pPr>
      <w:r>
        <w:t xml:space="preserve">itsme</w:t>
      </w:r>
    </w:p>
    <w:p>
      <w:pPr>
        <w:pStyle w:val="Compact"/>
        <w:numPr>
          <w:ilvl w:val="0"/>
          <w:numId w:val="1004"/>
        </w:numPr>
      </w:pPr>
      <w:r>
        <w:t xml:space="preserve">Applications 2FA Android compatibles</w:t>
      </w:r>
    </w:p>
    <w:bookmarkEnd w:id="44"/>
    <w:bookmarkStart w:id="45" w:name="colonne-2-outils-et-frameworks-de-test"/>
    <w:p>
      <w:pPr>
        <w:pStyle w:val="Heading3"/>
      </w:pPr>
      <w:r>
        <w:t xml:space="preserve">Colonne 2 — Outils et frameworks de test</w:t>
      </w:r>
    </w:p>
    <w:p>
      <w:pPr>
        <w:pStyle w:val="Compact"/>
        <w:numPr>
          <w:ilvl w:val="0"/>
          <w:numId w:val="1005"/>
        </w:numPr>
      </w:pPr>
      <w:r>
        <w:t xml:space="preserve">Selenium</w:t>
      </w:r>
    </w:p>
    <w:p>
      <w:pPr>
        <w:pStyle w:val="Compact"/>
        <w:numPr>
          <w:ilvl w:val="0"/>
          <w:numId w:val="1005"/>
        </w:numPr>
      </w:pPr>
      <w:r>
        <w:t xml:space="preserve">Cypress</w:t>
      </w:r>
    </w:p>
    <w:p>
      <w:pPr>
        <w:pStyle w:val="Compact"/>
        <w:numPr>
          <w:ilvl w:val="0"/>
          <w:numId w:val="1005"/>
        </w:numPr>
      </w:pPr>
      <w:r>
        <w:t xml:space="preserve">Appium</w:t>
      </w:r>
    </w:p>
    <w:p>
      <w:pPr>
        <w:pStyle w:val="Compact"/>
        <w:numPr>
          <w:ilvl w:val="0"/>
          <w:numId w:val="1005"/>
        </w:numPr>
      </w:pPr>
      <w:r>
        <w:t xml:space="preserve">Playwright</w:t>
      </w:r>
    </w:p>
    <w:p>
      <w:pPr>
        <w:pStyle w:val="Compact"/>
        <w:numPr>
          <w:ilvl w:val="0"/>
          <w:numId w:val="1005"/>
        </w:numPr>
      </w:pPr>
      <w:r>
        <w:t xml:space="preserve">Robot Framework</w:t>
      </w:r>
    </w:p>
    <w:p>
      <w:pPr>
        <w:pStyle w:val="Compact"/>
        <w:numPr>
          <w:ilvl w:val="0"/>
          <w:numId w:val="1005"/>
        </w:numPr>
      </w:pPr>
      <w:r>
        <w:t xml:space="preserve">TestComplete</w:t>
      </w:r>
    </w:p>
    <w:bookmarkEnd w:id="45"/>
    <w:bookmarkStart w:id="46" w:name="colonne-3-cicd"/>
    <w:p>
      <w:pPr>
        <w:pStyle w:val="Heading3"/>
      </w:pPr>
      <w:r>
        <w:t xml:space="preserve">Colonne 3 — CI/CD</w:t>
      </w:r>
    </w:p>
    <w:p>
      <w:pPr>
        <w:pStyle w:val="Compact"/>
        <w:numPr>
          <w:ilvl w:val="0"/>
          <w:numId w:val="1006"/>
        </w:numPr>
      </w:pPr>
      <w:r>
        <w:t xml:space="preserve">Jenkins</w:t>
      </w:r>
    </w:p>
    <w:p>
      <w:pPr>
        <w:pStyle w:val="Compact"/>
        <w:numPr>
          <w:ilvl w:val="0"/>
          <w:numId w:val="1006"/>
        </w:numPr>
      </w:pPr>
      <w:r>
        <w:t xml:space="preserve">GitLab CI</w:t>
      </w:r>
    </w:p>
    <w:p>
      <w:pPr>
        <w:pStyle w:val="Compact"/>
        <w:numPr>
          <w:ilvl w:val="0"/>
          <w:numId w:val="1006"/>
        </w:numPr>
      </w:pPr>
      <w:r>
        <w:t xml:space="preserve">Toute chaîne capable d’effectuer des appels HTTP</w:t>
      </w:r>
    </w:p>
    <w:bookmarkEnd w:id="46"/>
    <w:bookmarkStart w:id="47" w:name="suggestion-visuelle-4"/>
    <w:p>
      <w:pPr>
        <w:pStyle w:val="Heading3"/>
      </w:pPr>
      <w:r>
        <w:t xml:space="preserve">Suggestion visuelle</w:t>
      </w:r>
    </w:p>
    <w:p>
      <w:pPr>
        <w:pStyle w:val="FirstParagraph"/>
      </w:pPr>
      <w:r>
        <w:t xml:space="preserve">Présenter cette section en trois colonnes avec logos si les droits d’utilisation le permettent.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ta-final"/>
    <w:p>
      <w:pPr>
        <w:pStyle w:val="Heading2"/>
      </w:pPr>
      <w:r>
        <w:t xml:space="preserve">8. CTA final</w:t>
      </w:r>
    </w:p>
    <w:bookmarkStart w:id="49" w:name="titre-7"/>
    <w:p>
      <w:pPr>
        <w:pStyle w:val="Heading3"/>
      </w:pPr>
      <w:r>
        <w:t xml:space="preserve">Titre</w:t>
      </w:r>
    </w:p>
    <w:p>
      <w:pPr>
        <w:pStyle w:val="FirstParagraph"/>
      </w:pPr>
      <w:r>
        <w:rPr>
          <w:b/>
          <w:bCs/>
        </w:rPr>
        <w:t xml:space="preserve">Vous souhaitez vérifier la compatibilité de Q-Bot avec votre environnement de test ?</w:t>
      </w:r>
    </w:p>
    <w:bookmarkEnd w:id="49"/>
    <w:bookmarkStart w:id="50" w:name="bouton-principal"/>
    <w:p>
      <w:pPr>
        <w:pStyle w:val="Heading3"/>
      </w:pPr>
      <w:r>
        <w:t xml:space="preserve">Bouton principal</w:t>
      </w:r>
    </w:p>
    <w:p>
      <w:pPr>
        <w:pStyle w:val="FirstParagraph"/>
      </w:pPr>
      <w:r>
        <w:rPr>
          <w:b/>
          <w:bCs/>
        </w:rPr>
        <w:t xml:space="preserve">Réserver une démo</w:t>
      </w:r>
    </w:p>
    <w:bookmarkEnd w:id="50"/>
    <w:bookmarkStart w:id="51" w:name="bouton-secondaire-éventuel"/>
    <w:p>
      <w:pPr>
        <w:pStyle w:val="Heading3"/>
      </w:pPr>
      <w:r>
        <w:t xml:space="preserve">Bouton secondaire éventuel</w:t>
      </w:r>
    </w:p>
    <w:p>
      <w:pPr>
        <w:pStyle w:val="FirstParagraph"/>
      </w:pPr>
      <w:r>
        <w:rPr>
          <w:b/>
          <w:bCs/>
        </w:rPr>
        <w:t xml:space="preserve">Voir Q-Bot en action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4" w:name="éléments-à-retirer-de-lancienne-page"/>
    <w:p>
      <w:pPr>
        <w:pStyle w:val="Heading1"/>
      </w:pPr>
      <w:r>
        <w:t xml:space="preserve">Éléments à retirer de l’ancienne page</w:t>
      </w:r>
    </w:p>
    <w:p>
      <w:pPr>
        <w:pStyle w:val="FirstParagraph"/>
      </w:pPr>
      <w:r>
        <w:t xml:space="preserve">Ne plus afficher sur cette page :</w:t>
      </w:r>
    </w:p>
    <w:p>
      <w:pPr>
        <w:pStyle w:val="Compact"/>
        <w:numPr>
          <w:ilvl w:val="0"/>
          <w:numId w:val="1007"/>
        </w:numPr>
      </w:pPr>
      <w:r>
        <w:t xml:space="preserve">« Le tout dernier Raspberry Pi 5 »</w:t>
      </w:r>
    </w:p>
    <w:p>
      <w:pPr>
        <w:pStyle w:val="Compact"/>
        <w:numPr>
          <w:ilvl w:val="0"/>
          <w:numId w:val="1007"/>
        </w:numPr>
      </w:pPr>
      <w:r>
        <w:t xml:space="preserve">« L’intégration prend moins d’une heure »</w:t>
      </w:r>
    </w:p>
    <w:p>
      <w:pPr>
        <w:pStyle w:val="Compact"/>
        <w:numPr>
          <w:ilvl w:val="0"/>
          <w:numId w:val="1007"/>
        </w:numPr>
      </w:pPr>
      <w:r>
        <w:t xml:space="preserve">« Aucun jeton ni clé d’API à gérer »</w:t>
      </w:r>
    </w:p>
    <w:p>
      <w:pPr>
        <w:pStyle w:val="Compact"/>
        <w:numPr>
          <w:ilvl w:val="0"/>
          <w:numId w:val="1007"/>
        </w:numPr>
      </w:pPr>
      <w:r>
        <w:t xml:space="preserve">La section détaillée « Deux façons de lancer un scénario »</w:t>
      </w:r>
    </w:p>
    <w:p>
      <w:pPr>
        <w:pStyle w:val="Compact"/>
        <w:numPr>
          <w:ilvl w:val="0"/>
          <w:numId w:val="1007"/>
        </w:numPr>
      </w:pPr>
      <w:r>
        <w:t xml:space="preserve">« Aucune rétention de données »</w:t>
      </w:r>
    </w:p>
    <w:p>
      <w:pPr>
        <w:pStyle w:val="Compact"/>
        <w:numPr>
          <w:ilvl w:val="0"/>
          <w:numId w:val="1007"/>
        </w:numPr>
      </w:pPr>
      <w:r>
        <w:t xml:space="preserve">« Surveillance incluse »</w:t>
      </w:r>
    </w:p>
    <w:p>
      <w:pPr>
        <w:pStyle w:val="Compact"/>
        <w:numPr>
          <w:ilvl w:val="0"/>
          <w:numId w:val="1007"/>
        </w:numPr>
      </w:pPr>
      <w:r>
        <w:t xml:space="preserve">Les explications longues sur les cas d’usage</w:t>
      </w:r>
    </w:p>
    <w:p>
      <w:pPr>
        <w:pStyle w:val="Compact"/>
        <w:numPr>
          <w:ilvl w:val="0"/>
          <w:numId w:val="1007"/>
        </w:numPr>
      </w:pPr>
      <w:r>
        <w:t xml:space="preserve">Les formulations marketing qui répètent le contenu de la home</w:t>
      </w:r>
    </w:p>
    <w:bookmarkEnd w:id="54"/>
    <w:bookmarkStart w:id="55" w:name="intention-graphique"/>
    <w:p>
      <w:pPr>
        <w:pStyle w:val="Heading1"/>
      </w:pPr>
      <w:r>
        <w:t xml:space="preserve">Intention graphique</w:t>
      </w:r>
    </w:p>
    <w:p>
      <w:pPr>
        <w:pStyle w:val="FirstParagraph"/>
      </w:pPr>
      <w:r>
        <w:t xml:space="preserve">La page doit ressembler davantage à une</w:t>
      </w:r>
      <w:r>
        <w:t xml:space="preserve"> </w:t>
      </w:r>
      <w:r>
        <w:rPr>
          <w:b/>
          <w:bCs/>
        </w:rPr>
        <w:t xml:space="preserve">fiche produit technique</w:t>
      </w:r>
      <w:r>
        <w:t xml:space="preserve"> </w:t>
      </w:r>
      <w:r>
        <w:t xml:space="preserve">qu’à une page marketing.</w:t>
      </w:r>
    </w:p>
    <w:p>
      <w:pPr>
        <w:pStyle w:val="BodyText"/>
      </w:pPr>
      <w:r>
        <w:t xml:space="preserve">Priorités :</w:t>
      </w:r>
    </w:p>
    <w:p>
      <w:pPr>
        <w:pStyle w:val="Compact"/>
        <w:numPr>
          <w:ilvl w:val="0"/>
          <w:numId w:val="1008"/>
        </w:numPr>
      </w:pPr>
      <w:r>
        <w:t xml:space="preserve">lecture rapide ;</w:t>
      </w:r>
    </w:p>
    <w:p>
      <w:pPr>
        <w:pStyle w:val="Compact"/>
        <w:numPr>
          <w:ilvl w:val="0"/>
          <w:numId w:val="1008"/>
        </w:numPr>
      </w:pPr>
      <w:r>
        <w:t xml:space="preserve">beaucoup d’espace ;</w:t>
      </w:r>
    </w:p>
    <w:p>
      <w:pPr>
        <w:pStyle w:val="Compact"/>
        <w:numPr>
          <w:ilvl w:val="0"/>
          <w:numId w:val="1008"/>
        </w:numPr>
      </w:pPr>
      <w:r>
        <w:t xml:space="preserve">peu de paragraphes longs ;</w:t>
      </w:r>
    </w:p>
    <w:p>
      <w:pPr>
        <w:pStyle w:val="Compact"/>
        <w:numPr>
          <w:ilvl w:val="0"/>
          <w:numId w:val="1008"/>
        </w:numPr>
      </w:pPr>
      <w:r>
        <w:t xml:space="preserve">chiffres et caractéristiques immédiatement visibles ;</w:t>
      </w:r>
    </w:p>
    <w:p>
      <w:pPr>
        <w:pStyle w:val="Compact"/>
        <w:numPr>
          <w:ilvl w:val="0"/>
          <w:numId w:val="1008"/>
        </w:numPr>
      </w:pPr>
      <w:r>
        <w:t xml:space="preserve">captures réelles de l’interface lorsque possible ;</w:t>
      </w:r>
    </w:p>
    <w:p>
      <w:pPr>
        <w:pStyle w:val="Compact"/>
        <w:numPr>
          <w:ilvl w:val="0"/>
          <w:numId w:val="1008"/>
        </w:numPr>
      </w:pPr>
      <w:r>
        <w:t xml:space="preserve">sections clairement séparées ;</w:t>
      </w:r>
    </w:p>
    <w:p>
      <w:pPr>
        <w:pStyle w:val="Compact"/>
        <w:numPr>
          <w:ilvl w:val="0"/>
          <w:numId w:val="1008"/>
        </w:numPr>
      </w:pPr>
      <w:r>
        <w:t xml:space="preserve">compatibilités faciles à scanner.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