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3471B8" w:val="clear"/>
            <w:tcMar>
              <w:top w:type="dxa" w:w="400"/>
              <w:left w:type="dxa" w:w="480"/>
              <w:bottom w:type="dxa" w:w="400"/>
              <w:right w:type="dxa" w:w="480"/>
            </w:tcMar>
          </w:tcPr>
          <w:p>
            <w:pPr>
              <w:spacing w:after="80"/>
            </w:pPr>
            <w:r>
              <w:rPr>
                <w:rFonts w:ascii="Arial" w:cs="Arial" w:eastAsia="Arial" w:hAnsi="Arial"/>
                <w:b/>
                <w:bCs/>
                <w:caps/>
                <w:color w:val="E3AB23"/>
                <w:sz w:val="18"/>
                <w:szCs w:val="18"/>
              </w:rPr>
              <w:t xml:space="preserve">ROUTE &amp; COMPONENT PLANNING DOCUMENT</w:t>
            </w:r>
          </w:p>
          <w:p>
            <w:pPr>
              <w:spacing w:after="80"/>
            </w:pPr>
            <w:r>
              <w:rPr>
                <w:rFonts w:ascii="Arial" w:cs="Arial" w:eastAsia="Arial" w:hAnsi="Arial"/>
                <w:b/>
                <w:bCs/>
                <w:color w:val="FFFFFF"/>
                <w:sz w:val="36"/>
                <w:szCs w:val="36"/>
              </w:rPr>
              <w:t xml:space="preserve">ri.uvt.ro — Page-by-Page Component Map</w:t>
            </w:r>
          </w:p>
          <w:p>
            <w:r>
              <w:rPr>
                <w:rFonts w:ascii="Arial" w:cs="Arial" w:eastAsia="Arial" w:hAnsi="Arial"/>
                <w:color w:val="B8D4F0"/>
                <w:sz w:val="20"/>
                <w:szCs w:val="20"/>
              </w:rPr>
              <w:t xml:space="preserve">West University of Timișoara  ·  International Relations Department</w:t>
            </w:r>
          </w:p>
        </w:tc>
      </w:tr>
    </w:tbl>
    <w:p>
      <w:pPr>
        <w:spacing w:after="280"/>
      </w:pPr>
    </w:p>
    <w:p>
      <w:pPr>
        <w:pStyle w:val="Heading1"/>
        <w:pBdr>
          <w:bottom w:val="single" w:color="E3AB23" w:sz="8" w:space="4"/>
        </w:pBdr>
        <w:spacing w:after="160" w:before="360"/>
      </w:pPr>
      <w:r>
        <w:rPr>
          <w:rFonts w:ascii="Arial" w:cs="Arial" w:eastAsia="Arial" w:hAnsi="Arial"/>
          <w:b/>
          <w:bCs/>
          <w:color w:val="024A76"/>
          <w:sz w:val="32"/>
          <w:szCs w:val="32"/>
        </w:rPr>
        <w:t xml:space="preserve">Purpose</w:t>
      </w:r>
    </w:p>
    <w:p>
      <w:pPr>
        <w:spacing w:after="60" w:before="60"/>
      </w:pPr>
      <w:r>
        <w:rPr>
          <w:rFonts w:ascii="Arial" w:cs="Arial" w:eastAsia="Arial" w:hAnsi="Arial"/>
          <w:sz w:val="22"/>
          <w:szCs w:val="22"/>
        </w:rPr>
        <w:t xml:space="preserve">This document maps every route of ri.uvt.ro to the React components required to implement it. It serves as the bridge between the architecture plan and the implementation task list, giving the development team a clear view of which components appear on which pages and what data each page requires.</w:t>
      </w:r>
    </w:p>
    <w:p>
      <w:pPr>
        <w:spacing w:after="80"/>
      </w:pPr>
    </w:p>
    <w:p>
      <w:pPr>
        <w:pStyle w:val="Heading1"/>
        <w:pBdr>
          <w:bottom w:val="single" w:color="E3AB23" w:sz="8" w:space="4"/>
        </w:pBdr>
        <w:spacing w:after="160" w:before="360"/>
      </w:pPr>
      <w:r>
        <w:rPr>
          <w:rFonts w:ascii="Arial" w:cs="Arial" w:eastAsia="Arial" w:hAnsi="Arial"/>
          <w:b/>
          <w:bCs/>
          <w:color w:val="024A76"/>
          <w:sz w:val="32"/>
          <w:szCs w:val="32"/>
        </w:rPr>
        <w:t xml:space="preserve">Route-to-Component Map</w:t>
      </w:r>
    </w:p>
    <w:p>
      <w:pPr>
        <w:pStyle w:val="Heading2"/>
        <w:spacing w:after="120" w:before="280"/>
      </w:pPr>
      <w:r>
        <w:rPr>
          <w:rFonts w:ascii="Arial" w:cs="Arial" w:eastAsia="Arial" w:hAnsi="Arial"/>
          <w:b/>
          <w:bCs/>
          <w:color w:val="3471B8"/>
          <w:sz w:val="26"/>
          <w:szCs w:val="26"/>
        </w:rPr>
        <w:t xml:space="preserve">Homepage  ·  /[locale]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38"/>
        <w:gridCol w:w="3200"/>
      </w:tblGrid>
      <w:tr>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Section</w:t>
            </w:r>
          </w:p>
        </w:tc>
        <w:tc>
          <w:tcPr>
            <w:tcW w:type="dxa" w:w="3238"/>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Data Source</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Full-width hero banner</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HeroSlider</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 ACF / page meta (4 slides)</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About DRI block</w:t>
            </w:r>
          </w:p>
        </w:tc>
        <w:tc>
          <w:tcPr>
            <w:tcW w:type="dxa" w:w="32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ContentSection + IconCard</w:t>
            </w:r>
          </w:p>
        </w:tc>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WP page ID=11</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International Students block</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ContentSection + IconCard</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 page ID=11</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Contact block</w:t>
            </w:r>
          </w:p>
        </w:tc>
        <w:tc>
          <w:tcPr>
            <w:tcW w:type="dxa" w:w="32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ContentSection + IconCard</w:t>
            </w:r>
          </w:p>
        </w:tc>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WP page ID=11</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Social + Newsletter</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SocialIconBar + NewsletterForm</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Static config + API Route</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Footer</w:t>
            </w:r>
          </w:p>
        </w:tc>
        <w:tc>
          <w:tcPr>
            <w:tcW w:type="dxa" w:w="32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Footer</w:t>
            </w:r>
          </w:p>
        </w:tc>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Static constants</w:t>
            </w:r>
          </w:p>
        </w:tc>
      </w:tr>
    </w:tbl>
    <w:p>
      <w:pPr>
        <w:spacing w:after="160"/>
      </w:pPr>
    </w:p>
    <w:p>
      <w:pPr>
        <w:pStyle w:val="Heading2"/>
        <w:spacing w:after="120" w:before="280"/>
      </w:pPr>
      <w:r>
        <w:rPr>
          <w:rFonts w:ascii="Arial" w:cs="Arial" w:eastAsia="Arial" w:hAnsi="Arial"/>
          <w:b/>
          <w:bCs/>
          <w:color w:val="3471B8"/>
          <w:sz w:val="26"/>
          <w:szCs w:val="26"/>
        </w:rPr>
        <w:t xml:space="preserve">Echipa DRI  ·  /[locale]/despre-dri/echipa-dri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38"/>
        <w:gridCol w:w="3200"/>
      </w:tblGrid>
      <w:tr>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Section</w:t>
            </w:r>
          </w:p>
        </w:tc>
        <w:tc>
          <w:tcPr>
            <w:tcW w:type="dxa" w:w="3238"/>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Data Source</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Page title + divider</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SectionHeader</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 page title (slug: echipa-dri)</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Department label</w:t>
            </w:r>
          </w:p>
        </w:tc>
        <w:tc>
          <w:tcPr>
            <w:tcW w:type="dxa" w:w="32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Typography (h4)</w:t>
            </w:r>
          </w:p>
        </w:tc>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WP page content</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2-col team member grid</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TeamGrid → ContactInfo</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 page content (structured)</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Expandable contact details</w:t>
            </w:r>
          </w:p>
        </w:tc>
        <w:tc>
          <w:tcPr>
            <w:tcW w:type="dxa" w:w="32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AccordionSection</w:t>
            </w:r>
          </w:p>
        </w:tc>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WP page content</w:t>
            </w:r>
          </w:p>
        </w:tc>
      </w:tr>
    </w:tbl>
    <w:p>
      <w:pPr>
        <w:spacing w:after="160"/>
      </w:pPr>
    </w:p>
    <w:p>
      <w:pPr>
        <w:pStyle w:val="Heading2"/>
        <w:spacing w:after="120" w:before="280"/>
      </w:pPr>
      <w:r>
        <w:rPr>
          <w:rFonts w:ascii="Arial" w:cs="Arial" w:eastAsia="Arial" w:hAnsi="Arial"/>
          <w:b/>
          <w:bCs/>
          <w:color w:val="3471B8"/>
          <w:sz w:val="26"/>
          <w:szCs w:val="26"/>
        </w:rPr>
        <w:t xml:space="preserve">Erasmus Outgoing Studenți  ·  /[locale]/erasmus/outgoing-studenti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38"/>
        <w:gridCol w:w="3200"/>
      </w:tblGrid>
      <w:tr>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Section</w:t>
            </w:r>
          </w:p>
        </w:tc>
        <w:tc>
          <w:tcPr>
            <w:tcW w:type="dxa" w:w="3238"/>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Data Source</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Page title</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SectionHeader</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 page (slug: erasmus-outgoing-studenti)</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Accordion: Mobilități STUDII / PRACTICĂ</w:t>
            </w:r>
          </w:p>
        </w:tc>
        <w:tc>
          <w:tcPr>
            <w:tcW w:type="dxa" w:w="32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AccordionSection (IDs: 9771, 9772)</w:t>
            </w:r>
          </w:p>
        </w:tc>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WP page content</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Document downloads</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DocumentDownloadList</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 page content (links)</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Language switcher</w:t>
            </w:r>
          </w:p>
        </w:tc>
        <w:tc>
          <w:tcPr>
            <w:tcW w:type="dxa" w:w="32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LanguageSwitcher (in Navbar)</w:t>
            </w:r>
          </w:p>
        </w:tc>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Next.js locale routing</w:t>
            </w:r>
          </w:p>
        </w:tc>
      </w:tr>
    </w:tbl>
    <w:p>
      <w:pPr>
        <w:spacing w:after="160"/>
      </w:pPr>
    </w:p>
    <w:p>
      <w:pPr>
        <w:pStyle w:val="Heading2"/>
        <w:spacing w:after="120" w:before="280"/>
      </w:pPr>
      <w:r>
        <w:rPr>
          <w:rFonts w:ascii="Arial" w:cs="Arial" w:eastAsia="Arial" w:hAnsi="Arial"/>
          <w:b/>
          <w:bCs/>
          <w:color w:val="3471B8"/>
          <w:sz w:val="26"/>
          <w:szCs w:val="26"/>
        </w:rPr>
        <w:t xml:space="preserve">Sprijin Financiar Erasmus BIP  ·  /[locale]/erasmus/outgoing-studenti/sprijin-financiar-bip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38"/>
        <w:gridCol w:w="3200"/>
      </w:tblGrid>
      <w:tr>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Section</w:t>
            </w:r>
          </w:p>
        </w:tc>
        <w:tc>
          <w:tcPr>
            <w:tcW w:type="dxa" w:w="3238"/>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Data Source</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Page title</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SectionHeader</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 page</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3-card image CTA grid</w:t>
            </w:r>
          </w:p>
        </w:tc>
        <w:tc>
          <w:tcPr>
            <w:tcW w:type="dxa" w:w="32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CTACardGrid (3 cols)</w:t>
            </w:r>
          </w:p>
        </w:tc>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WP page content (ACF image fields)</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Prose content</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ContentSection</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 page content</w:t>
            </w:r>
          </w:p>
        </w:tc>
      </w:tr>
    </w:tbl>
    <w:p>
      <w:pPr>
        <w:spacing w:after="160"/>
      </w:pPr>
    </w:p>
    <w:p>
      <w:pPr>
        <w:pStyle w:val="Heading2"/>
        <w:spacing w:after="120" w:before="280"/>
      </w:pPr>
      <w:r>
        <w:rPr>
          <w:rFonts w:ascii="Arial" w:cs="Arial" w:eastAsia="Arial" w:hAnsi="Arial"/>
          <w:b/>
          <w:bCs/>
          <w:color w:val="3471B8"/>
          <w:sz w:val="26"/>
          <w:szCs w:val="26"/>
        </w:rPr>
        <w:t xml:space="preserve">International Stories  ·  /[locale]/erasmus/outgoing-studenti/povesti-de-mobilitate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38"/>
        <w:gridCol w:w="3200"/>
      </w:tblGrid>
      <w:tr>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Section</w:t>
            </w:r>
          </w:p>
        </w:tc>
        <w:tc>
          <w:tcPr>
            <w:tcW w:type="dxa" w:w="3238"/>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Data Source</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Page title</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SectionHeader</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 page</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3-column story card grid</w:t>
            </w:r>
          </w:p>
        </w:tc>
        <w:tc>
          <w:tcPr>
            <w:tcW w:type="dxa" w:w="32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StoryCardGrid</w:t>
            </w:r>
          </w:p>
        </w:tc>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WP CPT: mobility-stories</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Sub-section headings (h6)</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Typography</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 page content</w:t>
            </w:r>
          </w:p>
        </w:tc>
      </w:tr>
    </w:tbl>
    <w:p>
      <w:pPr>
        <w:spacing w:after="160"/>
      </w:pPr>
    </w:p>
    <w:p>
      <w:pPr>
        <w:pStyle w:val="Heading2"/>
        <w:spacing w:after="120" w:before="280"/>
      </w:pPr>
      <w:r>
        <w:rPr>
          <w:rFonts w:ascii="Arial" w:cs="Arial" w:eastAsia="Arial" w:hAnsi="Arial"/>
          <w:b/>
          <w:bCs/>
          <w:color w:val="3471B8"/>
          <w:sz w:val="26"/>
          <w:szCs w:val="26"/>
        </w:rPr>
        <w:t xml:space="preserve">Erasmus Incoming — Staff  ·  /[locale]/erasmus/incoming-personal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38"/>
        <w:gridCol w:w="3200"/>
      </w:tblGrid>
      <w:tr>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Section</w:t>
            </w:r>
          </w:p>
        </w:tc>
        <w:tc>
          <w:tcPr>
            <w:tcW w:type="dxa" w:w="3238"/>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Data Source</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Page title</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SectionHeader</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 page</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Icon list (links + docs)</w:t>
            </w:r>
          </w:p>
        </w:tc>
        <w:tc>
          <w:tcPr>
            <w:tcW w:type="dxa" w:w="32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IconList (traditional layout)</w:t>
            </w:r>
          </w:p>
        </w:tc>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WP page content</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Tabbed sub-content</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TabsSection</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 page content (tab-content-1702)</w:t>
            </w:r>
          </w:p>
        </w:tc>
      </w:tr>
    </w:tbl>
    <w:p>
      <w:pPr>
        <w:spacing w:after="160"/>
      </w:pPr>
    </w:p>
    <w:p>
      <w:pPr>
        <w:pStyle w:val="Heading2"/>
        <w:spacing w:after="120" w:before="280"/>
      </w:pPr>
      <w:r>
        <w:rPr>
          <w:rFonts w:ascii="Arial" w:cs="Arial" w:eastAsia="Arial" w:hAnsi="Arial"/>
          <w:b/>
          <w:bCs/>
          <w:color w:val="3471B8"/>
          <w:sz w:val="26"/>
          <w:szCs w:val="26"/>
        </w:rPr>
        <w:t xml:space="preserve">Admission Pages  ·  /[locale]/studenti-internationali/*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38"/>
        <w:gridCol w:w="3200"/>
      </w:tblGrid>
      <w:tr>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Section</w:t>
            </w:r>
          </w:p>
        </w:tc>
        <w:tc>
          <w:tcPr>
            <w:tcW w:type="dxa" w:w="3238"/>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Data Source</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Page title + subtitle</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SectionHeader</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 page</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Document &amp; links section</w:t>
            </w:r>
          </w:p>
        </w:tc>
        <w:tc>
          <w:tcPr>
            <w:tcW w:type="dxa" w:w="32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DocumentDownloadList</w:t>
            </w:r>
          </w:p>
        </w:tc>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WP page content</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WPML language switcher</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LanguageSwitcher</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Next.js locale routing</w:t>
            </w:r>
          </w:p>
        </w:tc>
      </w:tr>
    </w:tbl>
    <w:p>
      <w:pPr>
        <w:spacing w:after="160"/>
      </w:pPr>
    </w:p>
    <w:p>
      <w:pPr>
        <w:pStyle w:val="Heading2"/>
        <w:spacing w:after="120" w:before="280"/>
      </w:pPr>
      <w:r>
        <w:rPr>
          <w:rFonts w:ascii="Arial" w:cs="Arial" w:eastAsia="Arial" w:hAnsi="Arial"/>
          <w:b/>
          <w:bCs/>
          <w:color w:val="3471B8"/>
          <w:sz w:val="26"/>
          <w:szCs w:val="26"/>
        </w:rPr>
        <w:t xml:space="preserve">Contact  ·  /[locale]/contact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38"/>
        <w:gridCol w:w="3200"/>
      </w:tblGrid>
      <w:tr>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Section</w:t>
            </w:r>
          </w:p>
        </w:tc>
        <w:tc>
          <w:tcPr>
            <w:tcW w:type="dxa" w:w="3238"/>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w:t>
            </w:r>
          </w:p>
        </w:tc>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Data Source</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Page title</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SectionHeader</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WP page</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Contact form (name, email, subject, message)</w:t>
            </w:r>
          </w:p>
        </w:tc>
        <w:tc>
          <w:tcPr>
            <w:tcW w:type="dxa" w:w="32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ContactForm</w:t>
            </w:r>
          </w:p>
        </w:tc>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Next.js API Route → CF7</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Address / phone / email info</w:t>
            </w:r>
          </w:p>
        </w:tc>
        <w:tc>
          <w:tcPr>
            <w:tcW w:type="dxa" w:w="32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IconList</w:t>
            </w:r>
          </w:p>
        </w:tc>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Static config</w:t>
            </w:r>
          </w:p>
        </w:tc>
      </w:tr>
    </w:tbl>
    <w:p>
      <w:pPr>
        <w:spacing w:after="160"/>
      </w:pPr>
    </w:p>
    <w:p>
      <w:pPr>
        <w:pBdr>
          <w:bottom w:val="single" w:color="3471B8" w:sz="4" w:space="4"/>
        </w:pBdr>
        <w:spacing w:after="160" w:before="160"/>
      </w:pPr>
    </w:p>
    <w:p>
      <w:pPr>
        <w:pStyle w:val="Heading1"/>
        <w:pBdr>
          <w:bottom w:val="single" w:color="E3AB23" w:sz="8" w:space="4"/>
        </w:pBdr>
        <w:spacing w:after="160" w:before="360"/>
      </w:pPr>
      <w:r>
        <w:rPr>
          <w:rFonts w:ascii="Arial" w:cs="Arial" w:eastAsia="Arial" w:hAnsi="Arial"/>
          <w:b/>
          <w:bCs/>
          <w:color w:val="024A76"/>
          <w:sz w:val="32"/>
          <w:szCs w:val="32"/>
        </w:rPr>
        <w:t xml:space="preserve">Shared Component Usage Matrix</w:t>
      </w:r>
    </w:p>
    <w:p>
      <w:pPr>
        <w:spacing w:after="60" w:before="60"/>
      </w:pPr>
      <w:r>
        <w:rPr>
          <w:rFonts w:ascii="Arial" w:cs="Arial" w:eastAsia="Arial" w:hAnsi="Arial"/>
          <w:sz w:val="22"/>
          <w:szCs w:val="22"/>
        </w:rPr>
        <w:t xml:space="preserve">The following matrix shows which components appear on 3 or more distinct routes, indicating highest reuse priority.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38"/>
      </w:tblGrid>
      <w:tr>
        <w:tc>
          <w:tcPr>
            <w:tcW w:type="dxa" w:w="32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w:t>
            </w:r>
          </w:p>
        </w:tc>
        <w:tc>
          <w:tcPr>
            <w:tcW w:type="dxa" w:w="2400"/>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Route Count</w:t>
            </w:r>
          </w:p>
        </w:tc>
        <w:tc>
          <w:tcPr>
            <w:tcW w:type="dxa" w:w="4038"/>
            <w:tcBorders>
              <w:top w:val="single" w:color="024A76" w:sz="1"/>
              <w:left w:val="single" w:color="024A76" w:sz="1"/>
              <w:bottom w:val="single" w:color="024A76" w:sz="1"/>
              <w:right w:val="single" w:color="024A76" w:sz="1"/>
            </w:tcBorders>
            <w:shd w:fill="024A76"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Priority</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DocumentDownloadList</w:t>
            </w:r>
          </w:p>
        </w:tc>
        <w:tc>
          <w:tcPr>
            <w:tcW w:type="dxa" w:w="2400"/>
            <w:tcBorders>
              <w:top w:val="single" w:color="D0DCE8" w:sz="1"/>
              <w:left w:val="single" w:color="D0DCE8" w:sz="1"/>
              <w:bottom w:val="single" w:color="D0DCE8" w:sz="1"/>
              <w:right w:val="single" w:color="D0DCE8" w:sz="1"/>
            </w:tcBorders>
            <w:shd w:fill="8B000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All inner pages</w:t>
            </w:r>
          </w:p>
        </w:tc>
        <w:tc>
          <w:tcPr>
            <w:tcW w:type="dxa" w:w="40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HIGHEST — build first, unblocks all content pages</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SectionHeader</w:t>
            </w:r>
          </w:p>
        </w:tc>
        <w:tc>
          <w:tcPr>
            <w:tcW w:type="dxa" w:w="2400"/>
            <w:tcBorders>
              <w:top w:val="single" w:color="D0DCE8" w:sz="1"/>
              <w:left w:val="single" w:color="D0DCE8" w:sz="1"/>
              <w:bottom w:val="single" w:color="D0DCE8" w:sz="1"/>
              <w:right w:val="single" w:color="D0DCE8" w:sz="1"/>
            </w:tcBorders>
            <w:shd w:fill="8B000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All inner pages</w:t>
            </w:r>
          </w:p>
        </w:tc>
        <w:tc>
          <w:tcPr>
            <w:tcW w:type="dxa" w:w="40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HIGHEST — required by InnerPageTemplate</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AccordionSection</w:t>
            </w:r>
          </w:p>
        </w:tc>
        <w:tc>
          <w:tcPr>
            <w:tcW w:type="dxa" w:w="2400"/>
            <w:tcBorders>
              <w:top w:val="single" w:color="D0DCE8" w:sz="1"/>
              <w:left w:val="single" w:color="D0DCE8" w:sz="1"/>
              <w:bottom w:val="single" w:color="D0DCE8" w:sz="1"/>
              <w:right w:val="single" w:color="D0DCE8" w:sz="1"/>
            </w:tcBorders>
            <w:shd w:fill="024A76"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8+ routes</w:t>
            </w:r>
          </w:p>
        </w:tc>
        <w:tc>
          <w:tcPr>
            <w:tcW w:type="dxa" w:w="40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HIGH — Erasmus, admissions, team page</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Navbar + LanguageSwitcher</w:t>
            </w:r>
          </w:p>
        </w:tc>
        <w:tc>
          <w:tcPr>
            <w:tcW w:type="dxa" w:w="2400"/>
            <w:tcBorders>
              <w:top w:val="single" w:color="D0DCE8" w:sz="1"/>
              <w:left w:val="single" w:color="D0DCE8" w:sz="1"/>
              <w:bottom w:val="single" w:color="D0DCE8" w:sz="1"/>
              <w:right w:val="single" w:color="D0DCE8" w:sz="1"/>
            </w:tcBorders>
            <w:shd w:fill="8B000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All routes</w:t>
            </w:r>
          </w:p>
        </w:tc>
        <w:tc>
          <w:tcPr>
            <w:tcW w:type="dxa" w:w="40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HIGHEST — shared layout shell</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ContentSection</w:t>
            </w:r>
          </w:p>
        </w:tc>
        <w:tc>
          <w:tcPr>
            <w:tcW w:type="dxa" w:w="2400"/>
            <w:tcBorders>
              <w:top w:val="single" w:color="D0DCE8" w:sz="1"/>
              <w:left w:val="single" w:color="D0DCE8" w:sz="1"/>
              <w:bottom w:val="single" w:color="D0DCE8" w:sz="1"/>
              <w:right w:val="single" w:color="D0DCE8" w:sz="1"/>
            </w:tcBorders>
            <w:shd w:fill="024A76"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6+ routes</w:t>
            </w:r>
          </w:p>
        </w:tc>
        <w:tc>
          <w:tcPr>
            <w:tcW w:type="dxa" w:w="40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HIGH — homepage + all info pages</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IconList / IconListItem</w:t>
            </w:r>
          </w:p>
        </w:tc>
        <w:tc>
          <w:tcPr>
            <w:tcW w:type="dxa" w:w="2400"/>
            <w:tcBorders>
              <w:top w:val="single" w:color="D0DCE8" w:sz="1"/>
              <w:left w:val="single" w:color="D0DCE8" w:sz="1"/>
              <w:bottom w:val="single" w:color="D0DCE8" w:sz="1"/>
              <w:right w:val="single" w:color="D0DCE8" w:sz="1"/>
            </w:tcBorders>
            <w:shd w:fill="3471B8"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5+ routes</w:t>
            </w:r>
          </w:p>
        </w:tc>
        <w:tc>
          <w:tcPr>
            <w:tcW w:type="dxa" w:w="40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HIGH — contact, staff, document pages</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Footer</w:t>
            </w:r>
          </w:p>
        </w:tc>
        <w:tc>
          <w:tcPr>
            <w:tcW w:type="dxa" w:w="2400"/>
            <w:tcBorders>
              <w:top w:val="single" w:color="D0DCE8" w:sz="1"/>
              <w:left w:val="single" w:color="D0DCE8" w:sz="1"/>
              <w:bottom w:val="single" w:color="D0DCE8" w:sz="1"/>
              <w:right w:val="single" w:color="D0DCE8" w:sz="1"/>
            </w:tcBorders>
            <w:shd w:fill="8B000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All routes</w:t>
            </w:r>
          </w:p>
        </w:tc>
        <w:tc>
          <w:tcPr>
            <w:tcW w:type="dxa" w:w="40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HIGHEST — shared layout shell</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HeroSlider</w:t>
            </w:r>
          </w:p>
        </w:tc>
        <w:tc>
          <w:tcPr>
            <w:tcW w:type="dxa" w:w="2400"/>
            <w:tcBorders>
              <w:top w:val="single" w:color="D0DCE8" w:sz="1"/>
              <w:left w:val="single" w:color="D0DCE8" w:sz="1"/>
              <w:bottom w:val="single" w:color="D0DCE8" w:sz="1"/>
              <w:right w:val="single" w:color="D0DCE8" w:sz="1"/>
            </w:tcBorders>
            <w:shd w:fill="6B7A8D"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1 route</w:t>
            </w:r>
          </w:p>
        </w:tc>
        <w:tc>
          <w:tcPr>
            <w:tcW w:type="dxa" w:w="40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MEDIUM — homepage only; defer after atoms</w:t>
            </w:r>
          </w:p>
        </w:tc>
      </w:tr>
      <w:tr>
        <w:tc>
          <w:tcPr>
            <w:tcW w:type="dxa" w:w="3200"/>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CTACardGrid</w:t>
            </w:r>
          </w:p>
        </w:tc>
        <w:tc>
          <w:tcPr>
            <w:tcW w:type="dxa" w:w="2400"/>
            <w:tcBorders>
              <w:top w:val="single" w:color="D0DCE8" w:sz="1"/>
              <w:left w:val="single" w:color="D0DCE8" w:sz="1"/>
              <w:bottom w:val="single" w:color="D0DCE8" w:sz="1"/>
              <w:right w:val="single" w:color="D0DCE8" w:sz="1"/>
            </w:tcBorders>
            <w:shd w:fill="6B7A8D"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2–3 routes</w:t>
            </w:r>
          </w:p>
        </w:tc>
        <w:tc>
          <w:tcPr>
            <w:tcW w:type="dxa" w:w="4038"/>
            <w:tcBorders>
              <w:top w:val="single" w:color="D0DCE8" w:sz="1"/>
              <w:left w:val="single" w:color="D0DCE8" w:sz="1"/>
              <w:bottom w:val="single" w:color="D0DCE8" w:sz="1"/>
              <w:right w:val="single" w:color="D0DCE8" w:sz="1"/>
            </w:tcBorders>
            <w:shd w:fill="FFFFFF" w:val="clear"/>
            <w:tcMar>
              <w:top w:type="dxa" w:w="80"/>
              <w:left w:type="dxa" w:w="160"/>
              <w:bottom w:type="dxa" w:w="80"/>
              <w:right w:type="dxa" w:w="160"/>
            </w:tcMar>
          </w:tcPr>
          <w:p>
            <w:pPr>
              <w:jc w:val="left"/>
            </w:pPr>
            <w:r>
              <w:rPr>
                <w:rFonts w:ascii="Arial" w:cs="Arial" w:eastAsia="Arial" w:hAnsi="Arial"/>
                <w:color w:val="1A1A2E"/>
                <w:sz w:val="20"/>
                <w:szCs w:val="20"/>
              </w:rPr>
              <w:t xml:space="preserve">MEDIUM — BIP page + possible scholarship pages</w:t>
            </w:r>
          </w:p>
        </w:tc>
      </w:tr>
      <w:tr>
        <w:tc>
          <w:tcPr>
            <w:tcW w:type="dxa" w:w="3200"/>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StoryCardGrid</w:t>
            </w:r>
          </w:p>
        </w:tc>
        <w:tc>
          <w:tcPr>
            <w:tcW w:type="dxa" w:w="2400"/>
            <w:tcBorders>
              <w:top w:val="single" w:color="D0DCE8" w:sz="1"/>
              <w:left w:val="single" w:color="D0DCE8" w:sz="1"/>
              <w:bottom w:val="single" w:color="D0DCE8" w:sz="1"/>
              <w:right w:val="single" w:color="D0DCE8" w:sz="1"/>
            </w:tcBorders>
            <w:shd w:fill="6B7A8D"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1–2 routes</w:t>
            </w:r>
          </w:p>
        </w:tc>
        <w:tc>
          <w:tcPr>
            <w:tcW w:type="dxa" w:w="4038"/>
            <w:tcBorders>
              <w:top w:val="single" w:color="D0DCE8" w:sz="1"/>
              <w:left w:val="single" w:color="D0DCE8" w:sz="1"/>
              <w:bottom w:val="single" w:color="D0DCE8" w:sz="1"/>
              <w:right w:val="single" w:color="D0DCE8" w:sz="1"/>
            </w:tcBorders>
            <w:shd w:fill="F0F4F8" w:val="clear"/>
            <w:tcMar>
              <w:top w:type="dxa" w:w="80"/>
              <w:left w:type="dxa" w:w="160"/>
              <w:bottom w:type="dxa" w:w="80"/>
              <w:right w:type="dxa" w:w="160"/>
            </w:tcMar>
          </w:tcPr>
          <w:p>
            <w:pPr>
              <w:jc w:val="left"/>
            </w:pPr>
            <w:r>
              <w:rPr>
                <w:rFonts w:ascii="Arial" w:cs="Arial" w:eastAsia="Arial" w:hAnsi="Arial"/>
                <w:color w:val="1A1A2E"/>
                <w:sz w:val="20"/>
                <w:szCs w:val="20"/>
              </w:rPr>
              <w:t xml:space="preserve">LOW — International Stories page only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24A76" w:sz="20"/>
              <w:bottom w:val="none" w:color="FFFFFF" w:sz="0"/>
              <w:right w:val="none" w:color="FFFFFF" w:sz="0"/>
            </w:tcBorders>
            <w:shd w:fill="EEF4FB" w:val="clear"/>
            <w:tcMar>
              <w:top w:type="dxa" w:w="120"/>
              <w:left w:type="dxa" w:w="200"/>
              <w:bottom w:type="dxa" w:w="120"/>
              <w:right w:type="dxa" w:w="200"/>
            </w:tcMar>
          </w:tcPr>
          <w:p>
            <w:r>
              <w:rPr>
                <w:rFonts w:ascii="Arial" w:cs="Arial" w:eastAsia="Arial" w:hAnsi="Arial"/>
                <w:b/>
                <w:bCs/>
                <w:color w:val="024A76"/>
                <w:sz w:val="20"/>
                <w:szCs w:val="20"/>
              </w:rPr>
              <w:t xml:space="preserve">Key Insight</w:t>
            </w:r>
          </w:p>
          <w:p>
            <w:pPr>
              <w:spacing w:before="60"/>
            </w:pPr>
            <w:r>
              <w:rPr>
                <w:rFonts w:ascii="Arial" w:cs="Arial" w:eastAsia="Arial" w:hAnsi="Arial"/>
                <w:color w:val="2D3748"/>
                <w:sz w:val="20"/>
                <w:szCs w:val="20"/>
              </w:rPr>
              <w:t xml:space="preserve">DocumentDownloadList is the highest-ROI component — it appears on virtually every inner page and eliminates the most HTML duplication from the Elementor source. It should be the first organism implemented after atoms and molecules are complete.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8" w:sz="4" w:space="4"/>
      </w:pBdr>
      <w:spacing w:before="120"/>
    </w:pPr>
    <w:r>
      <w:rPr>
        <w:rFonts w:ascii="Arial" w:cs="Arial" w:eastAsia="Arial" w:hAnsi="Arial"/>
        <w:color w:val="6B7A8D"/>
        <w:sz w:val="18"/>
        <w:szCs w:val="18"/>
      </w:rPr>
      <w:t xml:space="preserve">West University of Timișoara — Route &amp; Component Planning  |  Page </w:t>
    </w:r>
    <w:r>
      <w:rPr>
        <w:rFonts w:ascii="Arial" w:cs="Arial" w:eastAsia="Arial" w:hAnsi="Arial"/>
        <w:color w:val="6B7A8D"/>
        <w:sz w:val="18"/>
        <w:szCs w:val="18"/>
      </w:rPr>
      <w:fldChar w:fldCharType="begin"/>
      <w:instrText xml:space="preserve">PAGE</w:instrText>
      <w:fldChar w:fldCharType="separate"/>
      <w:fldChar w:fldCharType="end"/>
    </w:r>
    <w:r>
      <w:rPr>
        <w:rFonts w:ascii="Arial" w:cs="Arial" w:eastAsia="Arial" w:hAnsi="Arial"/>
        <w:color w:val="6B7A8D"/>
        <w:sz w:val="18"/>
        <w:szCs w:val="18"/>
      </w:rPr>
      <w:t xml:space="preserve"> of </w:t>
    </w:r>
    <w:r>
      <w:rPr>
        <w:rFonts w:ascii="Arial" w:cs="Arial" w:eastAsia="Arial" w:hAnsi="Arial"/>
        <w:color w:val="6B7A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c>
        <w:tcPr>
          <w:tcW w:type="dxa" w:w="6000"/>
          <w:tcBorders>
            <w:top w:val="none" w:color="FFFFFF" w:sz="0"/>
            <w:left w:val="none" w:color="FFFFFF" w:sz="0"/>
            <w:bottom w:val="single" w:color="E3AB23" w:sz="4"/>
            <w:right w:val="none" w:color="FFFFFF" w:sz="0"/>
          </w:tcBorders>
          <w:shd w:fill="3471B8" w:val="clear"/>
          <w:tcMar>
            <w:top w:type="dxa" w:w="80"/>
            <w:left w:type="dxa" w:w="160"/>
            <w:bottom w:type="dxa" w:w="80"/>
            <w:right w:type="dxa" w:w="160"/>
          </w:tcMar>
        </w:tcPr>
        <w:p>
          <w:r>
            <w:rPr>
              <w:rFonts w:ascii="Arial" w:cs="Arial" w:eastAsia="Arial" w:hAnsi="Arial"/>
              <w:b/>
              <w:bCs/>
              <w:color w:val="FFFFFF"/>
              <w:sz w:val="18"/>
              <w:szCs w:val="18"/>
            </w:rPr>
            <w:t xml:space="preserve">ri.uvt.ro  |  Route &amp; Component Planning</w:t>
          </w:r>
        </w:p>
      </w:tc>
      <w:tc>
        <w:tcPr>
          <w:tcW w:type="dxa" w:w="3638"/>
          <w:tcBorders>
            <w:top w:val="none" w:color="FFFFFF" w:sz="0"/>
            <w:left w:val="none" w:color="FFFFFF" w:sz="0"/>
            <w:bottom w:val="single" w:color="E3AB23" w:sz="4"/>
            <w:right w:val="none" w:color="FFFFFF" w:sz="0"/>
          </w:tcBorders>
          <w:shd w:fill="3471B8" w:val="clear"/>
          <w:tcMar>
            <w:top w:type="dxa" w:w="80"/>
            <w:left w:type="dxa" w:w="160"/>
            <w:bottom w:type="dxa" w:w="80"/>
            <w:right w:type="dxa" w:w="160"/>
          </w:tcMar>
        </w:tcPr>
        <w:p>
          <w:pPr>
            <w:jc w:val="right"/>
          </w:pPr>
          <w:r>
            <w:rPr>
              <w:rFonts w:ascii="Arial" w:cs="Arial" w:eastAsia="Arial" w:hAnsi="Arial"/>
              <w:color w:val="B8D4F0"/>
              <w:sz w:val="18"/>
              <w:szCs w:val="18"/>
            </w:rPr>
            <w:t xml:space="preserve">Phase 2 — DRI / UVT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3471B8"/>
      </w:rPr>
    </w:lvl>
    <w:lvl w:ilvl="1" w15:tentative="1">
      <w:start w:val="1"/>
      <w:numFmt w:val="bullet"/>
      <w:lvlText w:val="◦"/>
      <w:lvlJc w:val="left"/>
      <w:pPr>
        <w:ind w:left="960" w:hanging="240"/>
      </w:pPr>
      <w:rPr>
        <w:rFonts w:ascii="Arial" w:cs="Arial" w:eastAsia="Arial" w:hAnsi="Arial"/>
        <w:color w:val="6B7A8D"/>
      </w:rPr>
    </w:lvl>
  </w:abstractNum>
  <w:abstractNum w:abstractNumId="3" w15:restartNumberingAfterBreak="0">
    <w:multiLevelType w:val="hybridMultilevel"/>
    <w:lvl w:ilvl="0" w15:tentative="1">
      <w:start w:val="1"/>
      <w:numFmt w:val="decimal"/>
      <w:lvlText w:val="%1."/>
      <w:lvlJc w:val="left"/>
      <w:pPr>
        <w:ind w:left="480" w:hanging="240"/>
      </w:pPr>
      <w:rPr>
        <w:rFonts w:ascii="Arial" w:cs="Arial" w:eastAsia="Arial" w:hAnsi="Arial"/>
      </w:rPr>
    </w:lvl>
  </w:abstractNum>
  <w:abstractNum w:abstractNumId="4" w15:restartNumberingAfterBreak="0">
    <w:multiLevelType w:val="hybridMultilevel"/>
    <w:lvl w:ilvl="0" w15:tentative="1">
      <w:start w:val="1"/>
      <w:numFmt w:val="decimal"/>
      <w:lvlText w:val="%1."/>
      <w:lvlJc w:val="left"/>
      <w:pPr>
        <w:ind w:left="480" w:hanging="280"/>
      </w:pPr>
      <w:rPr>
        <w:rFonts w:ascii="Arial" w:cs="Arial" w:eastAsia="Arial" w:hAnsi="Arial"/>
        <w:b/>
        <w:bCs/>
      </w:rPr>
    </w:lvl>
    <w:lvl w:ilvl="1" w15:tentative="1">
      <w:start w:val="1"/>
      <w:numFmt w:val="bullet"/>
      <w:lvlText w:val="–"/>
      <w:lvlJc w:val="left"/>
      <w:pPr>
        <w:ind w:left="960" w:hanging="24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024A76"/>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3471B8"/>
      <w:sz w:val="24"/>
      <w:szCs w:val="24"/>
    </w:rPr>
  </w:style>
  <w:style w:type="paragraph" w:styleId="Heading3">
    <w:name w:val="Heading 3"/>
    <w:basedOn w:val="Normal"/>
    <w:next w:val="Normal"/>
    <w:qFormat/>
    <w:pPr>
      <w:spacing w:after="80" w:before="160"/>
      <w:outlineLvl w:val="2"/>
    </w:pPr>
    <w:rPr>
      <w:rFonts w:ascii="Arial" w:cs="Arial" w:eastAsia="Arial" w:hAnsi="Arial"/>
      <w:b/>
      <w:bCs/>
      <w:color w:val="024A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2026-05-03T12:35:08.367Z</dcterms:created>
  <dcterms:modified xsi:type="dcterms:W3CDTF">2026-05-03T12:35:08.367Z</dcterms:modified>
</cp:coreProperties>
</file>

<file path=docProps/custom.xml><?xml version="1.0" encoding="utf-8"?>
<Properties xmlns="http://schemas.openxmlformats.org/officeDocument/2006/custom-properties" xmlns:vt="http://schemas.openxmlformats.org/officeDocument/2006/docPropsVTypes"/>
</file>