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28A" w:rsidRPr="00F509A7" w:rsidRDefault="00F509A7" w:rsidP="00F509A7">
      <w:pPr>
        <w:rPr>
          <w:rFonts w:asciiTheme="minorEastAsia" w:eastAsiaTheme="minorEastAsia" w:hAnsiTheme="minorEastAsia"/>
          <w:b/>
          <w:color w:val="000000" w:themeColor="text1"/>
          <w:spacing w:val="40"/>
          <w:sz w:val="21"/>
          <w:szCs w:val="21"/>
        </w:rPr>
      </w:pPr>
      <w:r w:rsidRPr="00F509A7">
        <w:rPr>
          <w:rFonts w:asciiTheme="minorEastAsia" w:eastAsiaTheme="minorEastAsia" w:hAnsiTheme="minorEastAsia" w:hint="eastAsia"/>
          <w:b/>
          <w:color w:val="000000" w:themeColor="text1"/>
          <w:spacing w:val="40"/>
          <w:sz w:val="21"/>
          <w:szCs w:val="21"/>
        </w:rPr>
        <w:t>内部资料</w:t>
      </w:r>
    </w:p>
    <w:p w:rsidR="00D774AC" w:rsidRPr="009B2EE6" w:rsidRDefault="00DA20DB" w:rsidP="00FD728A">
      <w:pPr>
        <w:jc w:val="center"/>
        <w:rPr>
          <w:rFonts w:eastAsia="方正姚体"/>
          <w:b/>
          <w:color w:val="FF0000"/>
          <w:spacing w:val="40"/>
          <w:sz w:val="44"/>
          <w:szCs w:val="44"/>
        </w:rPr>
      </w:pPr>
      <w:r w:rsidRPr="009B2EE6">
        <w:rPr>
          <w:rFonts w:eastAsia="方正姚体" w:hint="eastAsia"/>
          <w:b/>
          <w:color w:val="FF0000"/>
          <w:spacing w:val="40"/>
          <w:sz w:val="44"/>
          <w:szCs w:val="44"/>
        </w:rPr>
        <w:t>上海</w:t>
      </w:r>
      <w:r w:rsidR="00F509A7">
        <w:rPr>
          <w:rFonts w:eastAsia="方正姚体" w:hint="eastAsia"/>
          <w:b/>
          <w:color w:val="FF0000"/>
          <w:spacing w:val="40"/>
          <w:sz w:val="44"/>
          <w:szCs w:val="44"/>
        </w:rPr>
        <w:t>申通地铁集团企业标准化体系</w:t>
      </w:r>
    </w:p>
    <w:p w:rsidR="00FD728A" w:rsidRPr="009B2EE6" w:rsidRDefault="00DA20DB" w:rsidP="00F509A7">
      <w:pPr>
        <w:snapToGrid w:val="0"/>
        <w:spacing w:line="360" w:lineRule="auto"/>
        <w:jc w:val="center"/>
        <w:rPr>
          <w:rFonts w:eastAsia="黑体"/>
          <w:spacing w:val="40"/>
          <w:sz w:val="44"/>
          <w:szCs w:val="44"/>
        </w:rPr>
      </w:pPr>
      <w:r w:rsidRPr="009B2EE6">
        <w:rPr>
          <w:rFonts w:eastAsia="黑体" w:hint="eastAsia"/>
          <w:b/>
          <w:color w:val="FF0000"/>
          <w:spacing w:val="40"/>
          <w:sz w:val="44"/>
          <w:szCs w:val="44"/>
        </w:rPr>
        <w:t>工作</w:t>
      </w:r>
      <w:r w:rsidR="00F509A7">
        <w:rPr>
          <w:rFonts w:eastAsia="黑体" w:hint="eastAsia"/>
          <w:b/>
          <w:color w:val="FF0000"/>
          <w:spacing w:val="40"/>
          <w:sz w:val="44"/>
          <w:szCs w:val="44"/>
        </w:rPr>
        <w:t>月</w:t>
      </w:r>
      <w:r w:rsidRPr="009B2EE6">
        <w:rPr>
          <w:rFonts w:eastAsia="黑体" w:hint="eastAsia"/>
          <w:b/>
          <w:color w:val="FF0000"/>
          <w:spacing w:val="40"/>
          <w:sz w:val="44"/>
          <w:szCs w:val="44"/>
        </w:rPr>
        <w:t>报</w:t>
      </w:r>
    </w:p>
    <w:p w:rsidR="00F509A7" w:rsidRPr="009B2EE6" w:rsidRDefault="007A3015" w:rsidP="00E83188">
      <w:pPr>
        <w:snapToGrid w:val="0"/>
        <w:spacing w:line="360" w:lineRule="auto"/>
        <w:ind w:right="560"/>
        <w:jc w:val="right"/>
        <w:rPr>
          <w:sz w:val="21"/>
          <w:szCs w:val="21"/>
        </w:rPr>
      </w:pPr>
      <w:r w:rsidRPr="007A3015">
        <w:rPr>
          <w:rFonts w:eastAsia="方正姚体"/>
          <w:b/>
          <w:noProof/>
          <w:color w:val="FF0000"/>
          <w:spacing w:val="40"/>
          <w:sz w:val="28"/>
          <w:szCs w:val="28"/>
        </w:rPr>
        <w:pict>
          <v:line id="_x0000_s2060" style="position:absolute;left:0;text-align:left;z-index:251657728" from="-18pt,19.6pt" to="450pt,19.6pt" strokecolor="red" strokeweight="4.5pt">
            <v:stroke linestyle="thickThin"/>
          </v:line>
        </w:pict>
      </w:r>
      <w:r w:rsidR="004E640C">
        <w:rPr>
          <w:rFonts w:hint="eastAsia"/>
          <w:sz w:val="28"/>
          <w:szCs w:val="28"/>
        </w:rPr>
        <w:t>集团标准化室</w:t>
      </w:r>
      <w:r w:rsidR="00F509A7">
        <w:rPr>
          <w:rFonts w:hint="eastAsia"/>
          <w:sz w:val="28"/>
          <w:szCs w:val="28"/>
        </w:rPr>
        <w:t xml:space="preserve">                 </w:t>
      </w:r>
      <w:r w:rsidR="004E640C">
        <w:rPr>
          <w:rFonts w:hint="eastAsia"/>
          <w:sz w:val="28"/>
          <w:szCs w:val="28"/>
        </w:rPr>
        <w:t xml:space="preserve">  </w:t>
      </w:r>
      <w:r w:rsidR="00F509A7">
        <w:rPr>
          <w:rFonts w:hint="eastAsia"/>
          <w:sz w:val="28"/>
          <w:szCs w:val="28"/>
        </w:rPr>
        <w:t xml:space="preserve"> </w:t>
      </w:r>
      <w:r w:rsidR="00E83188">
        <w:rPr>
          <w:rFonts w:hint="eastAsia"/>
          <w:sz w:val="28"/>
          <w:szCs w:val="28"/>
        </w:rPr>
        <w:t xml:space="preserve">  </w:t>
      </w:r>
      <w:r w:rsidR="002B0BE6" w:rsidRPr="00F509A7">
        <w:rPr>
          <w:rFonts w:hint="eastAsia"/>
          <w:sz w:val="28"/>
          <w:szCs w:val="28"/>
        </w:rPr>
        <w:t>20</w:t>
      </w:r>
      <w:r w:rsidR="00F509A7">
        <w:rPr>
          <w:rFonts w:hint="eastAsia"/>
          <w:sz w:val="28"/>
          <w:szCs w:val="28"/>
        </w:rPr>
        <w:t>1</w:t>
      </w:r>
      <w:r w:rsidR="002729C8">
        <w:rPr>
          <w:rFonts w:hint="eastAsia"/>
          <w:sz w:val="28"/>
          <w:szCs w:val="28"/>
        </w:rPr>
        <w:t>3</w:t>
      </w:r>
      <w:r w:rsidR="00F509A7">
        <w:rPr>
          <w:rFonts w:hint="eastAsia"/>
          <w:sz w:val="28"/>
          <w:szCs w:val="28"/>
        </w:rPr>
        <w:t>年</w:t>
      </w:r>
      <w:r w:rsidR="008B3A17">
        <w:rPr>
          <w:rFonts w:hint="eastAsia"/>
          <w:sz w:val="28"/>
          <w:szCs w:val="28"/>
        </w:rPr>
        <w:t>5</w:t>
      </w:r>
      <w:r w:rsidR="00F509A7">
        <w:rPr>
          <w:rFonts w:hint="eastAsia"/>
          <w:sz w:val="28"/>
          <w:szCs w:val="28"/>
        </w:rPr>
        <w:t>月（总第</w:t>
      </w:r>
      <w:r w:rsidR="008B3A17">
        <w:rPr>
          <w:rFonts w:hint="eastAsia"/>
          <w:sz w:val="28"/>
          <w:szCs w:val="28"/>
        </w:rPr>
        <w:t>6</w:t>
      </w:r>
      <w:r w:rsidR="00F509A7">
        <w:rPr>
          <w:rFonts w:hint="eastAsia"/>
          <w:sz w:val="28"/>
          <w:szCs w:val="28"/>
        </w:rPr>
        <w:t>期）</w:t>
      </w:r>
      <w:r w:rsidR="00CA77C9" w:rsidRPr="009B2EE6">
        <w:rPr>
          <w:rFonts w:hint="eastAsia"/>
          <w:sz w:val="30"/>
          <w:szCs w:val="30"/>
        </w:rPr>
        <w:t xml:space="preserve"> </w:t>
      </w:r>
    </w:p>
    <w:p w:rsidR="00F509A7" w:rsidRPr="00E83188" w:rsidRDefault="00F509A7" w:rsidP="00F509A7">
      <w:pPr>
        <w:snapToGrid w:val="0"/>
        <w:rPr>
          <w:rFonts w:eastAsia="仿宋_GB2312"/>
          <w:b/>
          <w:sz w:val="28"/>
          <w:szCs w:val="28"/>
        </w:rPr>
      </w:pPr>
    </w:p>
    <w:p w:rsidR="00055B26" w:rsidRDefault="00F509A7" w:rsidP="001E5337">
      <w:pPr>
        <w:snapToGrid w:val="0"/>
        <w:spacing w:line="360" w:lineRule="auto"/>
        <w:rPr>
          <w:rFonts w:eastAsia="仿宋_GB2312"/>
          <w:b/>
          <w:sz w:val="32"/>
          <w:szCs w:val="32"/>
        </w:rPr>
      </w:pPr>
      <w:r w:rsidRPr="001E5337">
        <w:rPr>
          <w:rFonts w:eastAsia="仿宋_GB2312" w:hint="eastAsia"/>
          <w:b/>
          <w:sz w:val="32"/>
          <w:szCs w:val="32"/>
        </w:rPr>
        <w:t>本期要点：</w:t>
      </w:r>
    </w:p>
    <w:p w:rsidR="00055B26" w:rsidRPr="00BF2201" w:rsidRDefault="00055B26" w:rsidP="00BF2201">
      <w:pPr>
        <w:numPr>
          <w:ilvl w:val="0"/>
          <w:numId w:val="4"/>
        </w:numPr>
        <w:snapToGrid w:val="0"/>
        <w:spacing w:line="360" w:lineRule="auto"/>
        <w:rPr>
          <w:rFonts w:ascii="仿宋_GB2312" w:eastAsia="仿宋_GB2312"/>
          <w:b/>
          <w:sz w:val="28"/>
          <w:szCs w:val="28"/>
        </w:rPr>
      </w:pPr>
      <w:r w:rsidRPr="00BF2201">
        <w:rPr>
          <w:rFonts w:ascii="仿宋_GB2312" w:eastAsia="仿宋_GB2312" w:hint="eastAsia"/>
          <w:b/>
          <w:sz w:val="28"/>
          <w:szCs w:val="28"/>
        </w:rPr>
        <w:t>俞光耀总裁在5月运营</w:t>
      </w:r>
      <w:r w:rsidR="00BF2201" w:rsidRPr="00BF2201">
        <w:rPr>
          <w:rFonts w:ascii="仿宋_GB2312" w:eastAsia="仿宋_GB2312" w:hint="eastAsia"/>
          <w:b/>
          <w:sz w:val="28"/>
          <w:szCs w:val="28"/>
        </w:rPr>
        <w:t>月度</w:t>
      </w:r>
      <w:r w:rsidRPr="00BF2201">
        <w:rPr>
          <w:rFonts w:ascii="仿宋_GB2312" w:eastAsia="仿宋_GB2312" w:hint="eastAsia"/>
          <w:b/>
          <w:sz w:val="28"/>
          <w:szCs w:val="28"/>
        </w:rPr>
        <w:t>例会</w:t>
      </w:r>
      <w:r w:rsidR="00BF2201" w:rsidRPr="00BF2201">
        <w:rPr>
          <w:rFonts w:ascii="仿宋_GB2312" w:eastAsia="仿宋_GB2312" w:hint="eastAsia"/>
          <w:b/>
          <w:sz w:val="28"/>
          <w:szCs w:val="28"/>
        </w:rPr>
        <w:t>上</w:t>
      </w:r>
      <w:r w:rsidRPr="00BF2201">
        <w:rPr>
          <w:rFonts w:ascii="仿宋_GB2312" w:eastAsia="仿宋_GB2312" w:hint="eastAsia"/>
          <w:b/>
          <w:sz w:val="28"/>
          <w:szCs w:val="28"/>
        </w:rPr>
        <w:t>再次</w:t>
      </w:r>
      <w:r w:rsidR="00BF2201" w:rsidRPr="00BF2201">
        <w:rPr>
          <w:rFonts w:ascii="仿宋_GB2312" w:eastAsia="仿宋_GB2312" w:hint="eastAsia"/>
          <w:b/>
          <w:sz w:val="28"/>
          <w:szCs w:val="28"/>
        </w:rPr>
        <w:t>强调</w:t>
      </w:r>
      <w:r w:rsidR="00F56F18">
        <w:rPr>
          <w:rFonts w:ascii="仿宋_GB2312" w:eastAsia="仿宋_GB2312" w:hint="eastAsia"/>
          <w:b/>
          <w:sz w:val="28"/>
          <w:szCs w:val="28"/>
        </w:rPr>
        <w:t>标准化工作</w:t>
      </w:r>
      <w:r w:rsidRPr="00BF2201">
        <w:rPr>
          <w:rFonts w:ascii="仿宋_GB2312" w:eastAsia="仿宋_GB2312" w:hint="eastAsia"/>
          <w:b/>
          <w:sz w:val="28"/>
          <w:szCs w:val="28"/>
        </w:rPr>
        <w:t>推进要求</w:t>
      </w:r>
      <w:r w:rsidR="00FB1B9F">
        <w:rPr>
          <w:rFonts w:ascii="仿宋_GB2312" w:eastAsia="仿宋_GB2312" w:hint="eastAsia"/>
          <w:b/>
          <w:sz w:val="28"/>
          <w:szCs w:val="28"/>
        </w:rPr>
        <w:t>。</w:t>
      </w:r>
    </w:p>
    <w:p w:rsidR="00BF2201" w:rsidRPr="00D6305F" w:rsidRDefault="00BF2201" w:rsidP="00BF2201">
      <w:pPr>
        <w:numPr>
          <w:ilvl w:val="0"/>
          <w:numId w:val="4"/>
        </w:numPr>
        <w:snapToGrid w:val="0"/>
        <w:spacing w:line="360" w:lineRule="auto"/>
        <w:rPr>
          <w:rFonts w:ascii="仿宋_GB2312" w:eastAsia="仿宋_GB2312"/>
          <w:b/>
          <w:sz w:val="28"/>
          <w:szCs w:val="28"/>
        </w:rPr>
      </w:pPr>
      <w:r>
        <w:rPr>
          <w:rFonts w:ascii="仿宋_GB2312" w:eastAsia="仿宋_GB2312" w:hint="eastAsia"/>
          <w:b/>
          <w:sz w:val="28"/>
          <w:szCs w:val="28"/>
        </w:rPr>
        <w:t>至5</w:t>
      </w:r>
      <w:r w:rsidRPr="00D6305F">
        <w:rPr>
          <w:rFonts w:ascii="仿宋_GB2312" w:eastAsia="仿宋_GB2312" w:hint="eastAsia"/>
          <w:b/>
          <w:sz w:val="28"/>
          <w:szCs w:val="28"/>
        </w:rPr>
        <w:t>月底</w:t>
      </w:r>
      <w:r w:rsidR="00395064">
        <w:rPr>
          <w:rFonts w:ascii="仿宋_GB2312" w:eastAsia="仿宋_GB2312" w:hint="eastAsia"/>
          <w:b/>
          <w:sz w:val="28"/>
          <w:szCs w:val="28"/>
        </w:rPr>
        <w:t>运营和维保各单位</w:t>
      </w:r>
      <w:r w:rsidRPr="00D6305F">
        <w:rPr>
          <w:rFonts w:ascii="仿宋_GB2312" w:eastAsia="仿宋_GB2312" w:hint="eastAsia"/>
          <w:b/>
          <w:sz w:val="28"/>
          <w:szCs w:val="28"/>
        </w:rPr>
        <w:t>共完成</w:t>
      </w:r>
      <w:r w:rsidR="00FB1B9F" w:rsidRPr="00D6305F">
        <w:rPr>
          <w:rFonts w:ascii="仿宋_GB2312" w:eastAsia="仿宋_GB2312" w:hint="eastAsia"/>
          <w:b/>
          <w:sz w:val="28"/>
          <w:szCs w:val="28"/>
        </w:rPr>
        <w:t>运营服务标准体系</w:t>
      </w:r>
      <w:r w:rsidR="00770E61">
        <w:rPr>
          <w:rFonts w:ascii="仿宋_GB2312" w:eastAsia="仿宋_GB2312" w:hint="eastAsia"/>
          <w:b/>
          <w:sz w:val="28"/>
          <w:szCs w:val="28"/>
        </w:rPr>
        <w:t>1776个（不含集团本部）</w:t>
      </w:r>
      <w:r w:rsidRPr="00D6305F">
        <w:rPr>
          <w:rFonts w:ascii="仿宋_GB2312" w:eastAsia="仿宋_GB2312" w:hint="eastAsia"/>
          <w:b/>
          <w:sz w:val="28"/>
          <w:szCs w:val="28"/>
        </w:rPr>
        <w:t>标准</w:t>
      </w:r>
      <w:r w:rsidR="00770E61">
        <w:rPr>
          <w:rFonts w:ascii="仿宋_GB2312" w:eastAsia="仿宋_GB2312" w:hint="eastAsia"/>
          <w:b/>
          <w:sz w:val="28"/>
          <w:szCs w:val="28"/>
        </w:rPr>
        <w:t>的</w:t>
      </w:r>
      <w:r w:rsidRPr="00D6305F">
        <w:rPr>
          <w:rFonts w:ascii="仿宋_GB2312" w:eastAsia="仿宋_GB2312" w:hint="eastAsia"/>
          <w:b/>
          <w:sz w:val="28"/>
          <w:szCs w:val="28"/>
        </w:rPr>
        <w:t>编制，累计完成</w:t>
      </w:r>
      <w:r>
        <w:rPr>
          <w:rFonts w:ascii="仿宋_GB2312" w:eastAsia="仿宋_GB2312" w:hint="eastAsia"/>
          <w:b/>
          <w:sz w:val="28"/>
          <w:szCs w:val="28"/>
        </w:rPr>
        <w:t>率</w:t>
      </w:r>
      <w:r w:rsidR="00670872">
        <w:rPr>
          <w:rFonts w:ascii="仿宋_GB2312" w:eastAsia="仿宋_GB2312" w:hint="eastAsia"/>
          <w:b/>
          <w:sz w:val="28"/>
          <w:szCs w:val="28"/>
        </w:rPr>
        <w:t>9</w:t>
      </w:r>
      <w:r w:rsidR="00D56F41">
        <w:rPr>
          <w:rFonts w:ascii="仿宋_GB2312" w:eastAsia="仿宋_GB2312" w:hint="eastAsia"/>
          <w:b/>
          <w:sz w:val="28"/>
          <w:szCs w:val="28"/>
        </w:rPr>
        <w:t>9</w:t>
      </w:r>
      <w:r w:rsidR="00670872">
        <w:rPr>
          <w:rFonts w:ascii="仿宋_GB2312" w:eastAsia="仿宋_GB2312" w:hint="eastAsia"/>
          <w:b/>
          <w:sz w:val="28"/>
          <w:szCs w:val="28"/>
        </w:rPr>
        <w:t>.5</w:t>
      </w:r>
      <w:r w:rsidR="00D56F41">
        <w:rPr>
          <w:rFonts w:ascii="仿宋_GB2312" w:eastAsia="仿宋_GB2312" w:hint="eastAsia"/>
          <w:b/>
          <w:sz w:val="28"/>
          <w:szCs w:val="28"/>
        </w:rPr>
        <w:t>0</w:t>
      </w:r>
      <w:r w:rsidR="00670872">
        <w:rPr>
          <w:rFonts w:ascii="仿宋_GB2312" w:eastAsia="仿宋_GB2312" w:hint="eastAsia"/>
          <w:b/>
          <w:sz w:val="28"/>
          <w:szCs w:val="28"/>
        </w:rPr>
        <w:t>%</w:t>
      </w:r>
      <w:r>
        <w:rPr>
          <w:rFonts w:ascii="仿宋_GB2312" w:eastAsia="仿宋_GB2312" w:hint="eastAsia"/>
          <w:b/>
          <w:sz w:val="28"/>
          <w:szCs w:val="28"/>
        </w:rPr>
        <w:t>。</w:t>
      </w:r>
    </w:p>
    <w:p w:rsidR="00F56F18" w:rsidRDefault="00055B26" w:rsidP="00F56F18">
      <w:pPr>
        <w:numPr>
          <w:ilvl w:val="0"/>
          <w:numId w:val="4"/>
        </w:numPr>
        <w:snapToGrid w:val="0"/>
        <w:spacing w:line="360" w:lineRule="auto"/>
        <w:rPr>
          <w:rFonts w:ascii="仿宋_GB2312" w:eastAsia="仿宋_GB2312"/>
          <w:b/>
          <w:sz w:val="28"/>
          <w:szCs w:val="28"/>
        </w:rPr>
      </w:pPr>
      <w:r w:rsidRPr="00BF2201">
        <w:rPr>
          <w:rFonts w:ascii="仿宋_GB2312" w:eastAsia="仿宋_GB2312" w:hint="eastAsia"/>
          <w:b/>
          <w:sz w:val="28"/>
          <w:szCs w:val="28"/>
        </w:rPr>
        <w:t>标准化室组织赴先进企业</w:t>
      </w:r>
      <w:r w:rsidR="00C539EE" w:rsidRPr="00BF2201">
        <w:rPr>
          <w:rFonts w:ascii="仿宋_GB2312" w:eastAsia="仿宋_GB2312" w:hint="eastAsia"/>
          <w:b/>
          <w:sz w:val="28"/>
          <w:szCs w:val="28"/>
        </w:rPr>
        <w:t>交流</w:t>
      </w:r>
      <w:r w:rsidRPr="00BF2201">
        <w:rPr>
          <w:rFonts w:ascii="仿宋_GB2312" w:eastAsia="仿宋_GB2312" w:hint="eastAsia"/>
          <w:b/>
          <w:sz w:val="28"/>
          <w:szCs w:val="28"/>
        </w:rPr>
        <w:t>标准化工作经验</w:t>
      </w:r>
      <w:r w:rsidR="006B11D2">
        <w:rPr>
          <w:rFonts w:ascii="仿宋_GB2312" w:eastAsia="仿宋_GB2312" w:hint="eastAsia"/>
          <w:b/>
          <w:sz w:val="28"/>
          <w:szCs w:val="28"/>
        </w:rPr>
        <w:t>。</w:t>
      </w:r>
    </w:p>
    <w:p w:rsidR="00055B26" w:rsidRPr="00F56F18" w:rsidRDefault="00F56F18" w:rsidP="00F56F18">
      <w:pPr>
        <w:numPr>
          <w:ilvl w:val="0"/>
          <w:numId w:val="4"/>
        </w:numPr>
        <w:snapToGrid w:val="0"/>
        <w:spacing w:line="360" w:lineRule="auto"/>
        <w:rPr>
          <w:rFonts w:ascii="仿宋_GB2312" w:eastAsia="仿宋_GB2312"/>
          <w:b/>
          <w:sz w:val="28"/>
          <w:szCs w:val="28"/>
        </w:rPr>
      </w:pPr>
      <w:r>
        <w:rPr>
          <w:rFonts w:ascii="仿宋_GB2312" w:eastAsia="仿宋_GB2312" w:hint="eastAsia"/>
          <w:b/>
          <w:sz w:val="28"/>
          <w:szCs w:val="28"/>
        </w:rPr>
        <w:t>按</w:t>
      </w:r>
      <w:r w:rsidR="00090EF6">
        <w:rPr>
          <w:rFonts w:ascii="仿宋_GB2312" w:eastAsia="仿宋_GB2312" w:hint="eastAsia"/>
          <w:b/>
          <w:sz w:val="28"/>
          <w:szCs w:val="28"/>
        </w:rPr>
        <w:t>企业标准两</w:t>
      </w:r>
      <w:r w:rsidRPr="00F56F18">
        <w:rPr>
          <w:rFonts w:ascii="仿宋_GB2312" w:eastAsia="仿宋_GB2312" w:hint="eastAsia"/>
          <w:b/>
          <w:sz w:val="28"/>
          <w:szCs w:val="28"/>
        </w:rPr>
        <w:t>级审核</w:t>
      </w:r>
      <w:r w:rsidR="00090EF6">
        <w:rPr>
          <w:rFonts w:ascii="仿宋_GB2312" w:eastAsia="仿宋_GB2312" w:hint="eastAsia"/>
          <w:b/>
          <w:sz w:val="28"/>
          <w:szCs w:val="28"/>
        </w:rPr>
        <w:t>的</w:t>
      </w:r>
      <w:r>
        <w:rPr>
          <w:rFonts w:ascii="仿宋_GB2312" w:eastAsia="仿宋_GB2312" w:hint="eastAsia"/>
          <w:b/>
          <w:sz w:val="28"/>
          <w:szCs w:val="28"/>
        </w:rPr>
        <w:t>要求开展标准初审工作</w:t>
      </w:r>
      <w:r w:rsidR="006B11D2">
        <w:rPr>
          <w:rFonts w:ascii="仿宋_GB2312" w:eastAsia="仿宋_GB2312" w:hint="eastAsia"/>
          <w:b/>
          <w:sz w:val="28"/>
          <w:szCs w:val="28"/>
        </w:rPr>
        <w:t>。</w:t>
      </w:r>
    </w:p>
    <w:p w:rsidR="00AF489F" w:rsidRDefault="00AF489F" w:rsidP="00770E61">
      <w:pPr>
        <w:numPr>
          <w:ilvl w:val="0"/>
          <w:numId w:val="2"/>
        </w:numPr>
        <w:snapToGrid w:val="0"/>
        <w:spacing w:beforeLines="100" w:line="500" w:lineRule="exact"/>
        <w:rPr>
          <w:rFonts w:eastAsia="仿宋_GB2312"/>
          <w:b/>
          <w:sz w:val="28"/>
          <w:szCs w:val="28"/>
        </w:rPr>
      </w:pPr>
      <w:r>
        <w:rPr>
          <w:rFonts w:eastAsia="仿宋_GB2312" w:hint="eastAsia"/>
          <w:b/>
          <w:sz w:val="28"/>
          <w:szCs w:val="28"/>
        </w:rPr>
        <w:t>工作进展总体情况</w:t>
      </w:r>
    </w:p>
    <w:p w:rsidR="00BA0439" w:rsidRPr="00907AD7" w:rsidRDefault="00E927F9" w:rsidP="00907AD7">
      <w:pPr>
        <w:snapToGrid w:val="0"/>
        <w:spacing w:line="500" w:lineRule="exact"/>
        <w:jc w:val="center"/>
        <w:rPr>
          <w:rFonts w:ascii="黑体" w:eastAsia="黑体" w:hAnsi="黑体"/>
          <w:sz w:val="21"/>
          <w:szCs w:val="21"/>
        </w:rPr>
      </w:pPr>
      <w:r w:rsidRPr="00E927F9">
        <w:rPr>
          <w:rFonts w:ascii="黑体" w:eastAsia="黑体" w:hAnsi="黑体" w:hint="eastAsia"/>
          <w:sz w:val="21"/>
          <w:szCs w:val="21"/>
        </w:rPr>
        <w:t>表1：</w:t>
      </w:r>
      <w:r w:rsidR="001F421B">
        <w:rPr>
          <w:rFonts w:ascii="黑体" w:eastAsia="黑体" w:hAnsi="黑体" w:hint="eastAsia"/>
          <w:sz w:val="21"/>
          <w:szCs w:val="21"/>
        </w:rPr>
        <w:t>5</w:t>
      </w:r>
      <w:r w:rsidRPr="00E927F9">
        <w:rPr>
          <w:rFonts w:ascii="黑体" w:eastAsia="黑体" w:hAnsi="黑体" w:hint="eastAsia"/>
          <w:sz w:val="21"/>
          <w:szCs w:val="21"/>
        </w:rPr>
        <w:t>月份运营服务标准体系主要编制部门的编制进度</w:t>
      </w:r>
    </w:p>
    <w:tbl>
      <w:tblPr>
        <w:tblW w:w="8436" w:type="dxa"/>
        <w:jc w:val="center"/>
        <w:tblInd w:w="-386" w:type="dxa"/>
        <w:tblLook w:val="04A0"/>
      </w:tblPr>
      <w:tblGrid>
        <w:gridCol w:w="1778"/>
        <w:gridCol w:w="1078"/>
        <w:gridCol w:w="1078"/>
        <w:gridCol w:w="1085"/>
        <w:gridCol w:w="1079"/>
        <w:gridCol w:w="1085"/>
        <w:gridCol w:w="1253"/>
      </w:tblGrid>
      <w:tr w:rsidR="008113E9" w:rsidRPr="008113E9" w:rsidTr="003931A0">
        <w:trPr>
          <w:trHeight w:val="300"/>
          <w:jc w:val="center"/>
        </w:trPr>
        <w:tc>
          <w:tcPr>
            <w:tcW w:w="177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部门/单位</w:t>
            </w:r>
          </w:p>
        </w:tc>
        <w:tc>
          <w:tcPr>
            <w:tcW w:w="3241" w:type="dxa"/>
            <w:gridSpan w:val="3"/>
            <w:tcBorders>
              <w:top w:val="single" w:sz="8" w:space="0" w:color="auto"/>
              <w:left w:val="nil"/>
              <w:bottom w:val="single" w:sz="8" w:space="0" w:color="auto"/>
              <w:right w:val="single" w:sz="8" w:space="0" w:color="000000"/>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本月情况</w:t>
            </w:r>
          </w:p>
        </w:tc>
        <w:tc>
          <w:tcPr>
            <w:tcW w:w="2164" w:type="dxa"/>
            <w:gridSpan w:val="2"/>
            <w:tcBorders>
              <w:top w:val="single" w:sz="8" w:space="0" w:color="auto"/>
              <w:left w:val="nil"/>
              <w:bottom w:val="single" w:sz="8" w:space="0" w:color="auto"/>
              <w:right w:val="single" w:sz="8" w:space="0" w:color="000000"/>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累计情况</w:t>
            </w:r>
          </w:p>
        </w:tc>
        <w:tc>
          <w:tcPr>
            <w:tcW w:w="1253" w:type="dxa"/>
            <w:tcBorders>
              <w:top w:val="single" w:sz="8" w:space="0" w:color="auto"/>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2"/>
                <w:szCs w:val="22"/>
              </w:rPr>
            </w:pPr>
            <w:r w:rsidRPr="008113E9">
              <w:rPr>
                <w:rFonts w:ascii="黑体" w:eastAsia="黑体" w:hAnsi="黑体" w:cs="宋体" w:hint="eastAsia"/>
                <w:color w:val="000000"/>
                <w:kern w:val="0"/>
                <w:sz w:val="22"/>
                <w:szCs w:val="22"/>
              </w:rPr>
              <w:t>备注</w:t>
            </w:r>
          </w:p>
        </w:tc>
      </w:tr>
      <w:tr w:rsidR="008113E9" w:rsidRPr="008113E9" w:rsidTr="003931A0">
        <w:trPr>
          <w:trHeight w:val="199"/>
          <w:jc w:val="center"/>
        </w:trPr>
        <w:tc>
          <w:tcPr>
            <w:tcW w:w="1778" w:type="dxa"/>
            <w:vMerge/>
            <w:tcBorders>
              <w:top w:val="single" w:sz="8" w:space="0" w:color="auto"/>
              <w:left w:val="single" w:sz="8" w:space="0" w:color="auto"/>
              <w:bottom w:val="single" w:sz="8" w:space="0" w:color="000000"/>
              <w:right w:val="single" w:sz="8" w:space="0" w:color="auto"/>
            </w:tcBorders>
            <w:vAlign w:val="center"/>
            <w:hideMark/>
          </w:tcPr>
          <w:p w:rsidR="008113E9" w:rsidRPr="008113E9" w:rsidRDefault="008113E9" w:rsidP="008113E9">
            <w:pPr>
              <w:widowControl/>
              <w:jc w:val="left"/>
              <w:rPr>
                <w:rFonts w:ascii="黑体" w:eastAsia="黑体" w:hAnsi="黑体" w:cs="宋体"/>
                <w:color w:val="000000"/>
                <w:kern w:val="0"/>
                <w:sz w:val="22"/>
                <w:szCs w:val="22"/>
              </w:rPr>
            </w:pPr>
          </w:p>
        </w:tc>
        <w:tc>
          <w:tcPr>
            <w:tcW w:w="1078"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计划</w:t>
            </w:r>
          </w:p>
        </w:tc>
        <w:tc>
          <w:tcPr>
            <w:tcW w:w="1078"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完成</w:t>
            </w:r>
          </w:p>
        </w:tc>
        <w:tc>
          <w:tcPr>
            <w:tcW w:w="1085"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比例</w:t>
            </w:r>
          </w:p>
        </w:tc>
        <w:tc>
          <w:tcPr>
            <w:tcW w:w="1079"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完成</w:t>
            </w:r>
          </w:p>
        </w:tc>
        <w:tc>
          <w:tcPr>
            <w:tcW w:w="1085"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比例</w:t>
            </w:r>
          </w:p>
        </w:tc>
        <w:tc>
          <w:tcPr>
            <w:tcW w:w="1253" w:type="dxa"/>
            <w:tcBorders>
              <w:top w:val="nil"/>
              <w:left w:val="nil"/>
              <w:bottom w:val="single" w:sz="8" w:space="0" w:color="auto"/>
              <w:right w:val="single" w:sz="8" w:space="0" w:color="auto"/>
            </w:tcBorders>
            <w:shd w:val="clear" w:color="auto" w:fill="auto"/>
            <w:vAlign w:val="center"/>
            <w:hideMark/>
          </w:tcPr>
          <w:p w:rsidR="008113E9" w:rsidRPr="008113E9" w:rsidRDefault="008113E9" w:rsidP="008113E9">
            <w:pPr>
              <w:widowControl/>
              <w:jc w:val="center"/>
              <w:rPr>
                <w:rFonts w:ascii="黑体" w:eastAsia="黑体" w:hAnsi="黑体" w:cs="宋体"/>
                <w:color w:val="000000"/>
                <w:kern w:val="0"/>
                <w:sz w:val="20"/>
                <w:szCs w:val="20"/>
              </w:rPr>
            </w:pPr>
            <w:r w:rsidRPr="008113E9">
              <w:rPr>
                <w:rFonts w:ascii="黑体" w:eastAsia="黑体" w:hAnsi="黑体" w:cs="宋体" w:hint="eastAsia"/>
                <w:color w:val="000000"/>
                <w:kern w:val="0"/>
                <w:sz w:val="20"/>
                <w:szCs w:val="20"/>
              </w:rPr>
              <w:t xml:space="preserve">　</w:t>
            </w:r>
          </w:p>
        </w:tc>
      </w:tr>
      <w:tr w:rsidR="003931A0" w:rsidRPr="008113E9" w:rsidTr="003931A0">
        <w:trPr>
          <w:trHeight w:val="223"/>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运管中心</w:t>
            </w:r>
          </w:p>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运营管理部</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17</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17</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172</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247"/>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运一</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13</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13</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83.87%</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233"/>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运二</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29</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54"/>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运三</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5</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54"/>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运四</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7</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7</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29</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3B01EF" w:rsidRDefault="003931A0" w:rsidP="003B01EF">
            <w:pPr>
              <w:widowControl/>
              <w:jc w:val="center"/>
              <w:rPr>
                <w:rFonts w:ascii="Arial Unicode MS" w:eastAsia="Arial Unicode MS" w:hAnsi="Arial Unicode MS" w:cs="Arial Unicode MS"/>
                <w:color w:val="000000"/>
                <w:kern w:val="0"/>
                <w:sz w:val="18"/>
                <w:szCs w:val="18"/>
              </w:rPr>
            </w:pPr>
            <w:r w:rsidRPr="003B01EF">
              <w:rPr>
                <w:rFonts w:ascii="Arial Unicode MS" w:eastAsia="Arial Unicode MS" w:hAnsi="Arial Unicode MS" w:cs="Arial Unicode MS" w:hint="eastAsia"/>
                <w:color w:val="000000"/>
                <w:kern w:val="0"/>
                <w:sz w:val="18"/>
                <w:szCs w:val="18"/>
              </w:rPr>
              <w:t xml:space="preserve">　</w:t>
            </w:r>
          </w:p>
        </w:tc>
      </w:tr>
      <w:tr w:rsidR="003931A0" w:rsidRPr="008113E9" w:rsidTr="003931A0">
        <w:trPr>
          <w:trHeight w:val="345"/>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维保中心</w:t>
            </w:r>
          </w:p>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设施设备部</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92</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345"/>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维保供电</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261</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345"/>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维保车辆</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28</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28</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315</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345"/>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维保工务</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44</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44</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360</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99.72%</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345"/>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8113E9">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维保通号</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12</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12</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265</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r w:rsidR="003931A0" w:rsidRPr="008113E9" w:rsidTr="003931A0">
        <w:trPr>
          <w:trHeight w:val="345"/>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3931A0" w:rsidRDefault="003931A0" w:rsidP="007D110A">
            <w:pPr>
              <w:widowControl/>
              <w:jc w:val="center"/>
              <w:rPr>
                <w:rFonts w:ascii="黑体" w:eastAsia="黑体" w:hAnsi="黑体" w:cs="宋体"/>
                <w:color w:val="000000"/>
                <w:kern w:val="0"/>
                <w:sz w:val="22"/>
                <w:szCs w:val="22"/>
              </w:rPr>
            </w:pPr>
            <w:r w:rsidRPr="003931A0">
              <w:rPr>
                <w:rFonts w:ascii="黑体" w:eastAsia="黑体" w:hAnsi="黑体" w:cs="宋体" w:hint="eastAsia"/>
                <w:color w:val="000000"/>
                <w:kern w:val="0"/>
                <w:sz w:val="22"/>
                <w:szCs w:val="22"/>
              </w:rPr>
              <w:t>维保物资</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4</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66.67%</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201</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98.53%</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p>
        </w:tc>
      </w:tr>
      <w:tr w:rsidR="003931A0" w:rsidRPr="008113E9" w:rsidTr="003931A0">
        <w:trPr>
          <w:trHeight w:val="449"/>
          <w:jc w:val="center"/>
        </w:trPr>
        <w:tc>
          <w:tcPr>
            <w:tcW w:w="1778" w:type="dxa"/>
            <w:tcBorders>
              <w:top w:val="nil"/>
              <w:left w:val="single" w:sz="8" w:space="0" w:color="auto"/>
              <w:bottom w:val="single" w:sz="8" w:space="0" w:color="auto"/>
              <w:right w:val="single" w:sz="8" w:space="0" w:color="auto"/>
            </w:tcBorders>
            <w:shd w:val="clear" w:color="auto" w:fill="auto"/>
            <w:vAlign w:val="center"/>
            <w:hideMark/>
          </w:tcPr>
          <w:p w:rsidR="003931A0" w:rsidRPr="009A232E" w:rsidRDefault="003931A0" w:rsidP="008113E9">
            <w:pPr>
              <w:widowControl/>
              <w:jc w:val="center"/>
              <w:rPr>
                <w:rFonts w:ascii="黑体" w:eastAsia="黑体" w:hAnsi="黑体" w:cs="宋体"/>
                <w:b/>
                <w:color w:val="000000"/>
                <w:kern w:val="0"/>
              </w:rPr>
            </w:pPr>
            <w:r w:rsidRPr="009A232E">
              <w:rPr>
                <w:rFonts w:ascii="黑体" w:eastAsia="黑体" w:hAnsi="黑体" w:cs="宋体" w:hint="eastAsia"/>
                <w:b/>
                <w:color w:val="000000"/>
                <w:kern w:val="0"/>
              </w:rPr>
              <w:t>合计</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138</w:t>
            </w:r>
          </w:p>
        </w:tc>
        <w:tc>
          <w:tcPr>
            <w:tcW w:w="1078"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136</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98.55%</w:t>
            </w:r>
          </w:p>
        </w:tc>
        <w:tc>
          <w:tcPr>
            <w:tcW w:w="1079"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1776</w:t>
            </w:r>
          </w:p>
        </w:tc>
        <w:tc>
          <w:tcPr>
            <w:tcW w:w="1085" w:type="dxa"/>
            <w:tcBorders>
              <w:top w:val="nil"/>
              <w:left w:val="nil"/>
              <w:bottom w:val="single" w:sz="8" w:space="0" w:color="auto"/>
              <w:right w:val="single" w:sz="8" w:space="0" w:color="auto"/>
            </w:tcBorders>
            <w:shd w:val="clear" w:color="auto" w:fill="auto"/>
            <w:vAlign w:val="center"/>
            <w:hideMark/>
          </w:tcPr>
          <w:p w:rsidR="003931A0" w:rsidRDefault="003931A0">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99.50%</w:t>
            </w:r>
          </w:p>
        </w:tc>
        <w:tc>
          <w:tcPr>
            <w:tcW w:w="1253" w:type="dxa"/>
            <w:tcBorders>
              <w:top w:val="nil"/>
              <w:left w:val="nil"/>
              <w:bottom w:val="single" w:sz="8" w:space="0" w:color="auto"/>
              <w:right w:val="single" w:sz="8" w:space="0" w:color="auto"/>
            </w:tcBorders>
            <w:shd w:val="clear" w:color="auto" w:fill="auto"/>
            <w:vAlign w:val="center"/>
            <w:hideMark/>
          </w:tcPr>
          <w:p w:rsidR="003931A0" w:rsidRPr="008113E9" w:rsidRDefault="003931A0" w:rsidP="008113E9">
            <w:pPr>
              <w:widowControl/>
              <w:jc w:val="center"/>
              <w:rPr>
                <w:rFonts w:ascii="宋体" w:hAnsi="宋体" w:cs="宋体"/>
                <w:color w:val="000000"/>
                <w:kern w:val="0"/>
                <w:sz w:val="22"/>
                <w:szCs w:val="22"/>
              </w:rPr>
            </w:pPr>
            <w:r w:rsidRPr="008113E9">
              <w:rPr>
                <w:rFonts w:ascii="宋体" w:hAnsi="宋体" w:cs="宋体" w:hint="eastAsia"/>
                <w:color w:val="000000"/>
                <w:kern w:val="0"/>
                <w:sz w:val="22"/>
                <w:szCs w:val="22"/>
              </w:rPr>
              <w:t xml:space="preserve">　</w:t>
            </w:r>
          </w:p>
        </w:tc>
      </w:tr>
    </w:tbl>
    <w:p w:rsidR="00A304DA" w:rsidRPr="00E3297D" w:rsidRDefault="001C1CE3" w:rsidP="00770E61">
      <w:pPr>
        <w:snapToGrid w:val="0"/>
        <w:spacing w:beforeLines="50" w:line="500" w:lineRule="exact"/>
        <w:ind w:firstLineChars="200" w:firstLine="480"/>
        <w:rPr>
          <w:rFonts w:eastAsia="仿宋_GB2312"/>
        </w:rPr>
      </w:pPr>
      <w:r>
        <w:rPr>
          <w:rFonts w:eastAsia="仿宋_GB2312" w:hint="eastAsia"/>
        </w:rPr>
        <w:t>标准编制的详细情况见附件一《标准编制工作进度统计表》）</w:t>
      </w:r>
      <w:r w:rsidR="00C77FED">
        <w:rPr>
          <w:rFonts w:eastAsia="仿宋_GB2312" w:hint="eastAsia"/>
        </w:rPr>
        <w:t>。</w:t>
      </w:r>
    </w:p>
    <w:p w:rsidR="006F7C69" w:rsidRPr="00997F96" w:rsidRDefault="006F7C69" w:rsidP="00770E61">
      <w:pPr>
        <w:numPr>
          <w:ilvl w:val="0"/>
          <w:numId w:val="2"/>
        </w:numPr>
        <w:snapToGrid w:val="0"/>
        <w:spacing w:beforeLines="100" w:line="500" w:lineRule="exact"/>
        <w:rPr>
          <w:rFonts w:eastAsia="仿宋_GB2312"/>
          <w:b/>
          <w:sz w:val="28"/>
          <w:szCs w:val="28"/>
        </w:rPr>
      </w:pPr>
      <w:r w:rsidRPr="00997F96">
        <w:rPr>
          <w:rFonts w:eastAsia="仿宋_GB2312" w:hint="eastAsia"/>
          <w:b/>
          <w:sz w:val="28"/>
          <w:szCs w:val="28"/>
        </w:rPr>
        <w:lastRenderedPageBreak/>
        <w:t>本月重要事项</w:t>
      </w:r>
    </w:p>
    <w:p w:rsidR="006F7C69" w:rsidRPr="006F7C69" w:rsidRDefault="006B11D2" w:rsidP="006F7C69">
      <w:pPr>
        <w:numPr>
          <w:ilvl w:val="0"/>
          <w:numId w:val="5"/>
        </w:numPr>
        <w:snapToGrid w:val="0"/>
        <w:spacing w:line="500" w:lineRule="exact"/>
        <w:rPr>
          <w:rFonts w:eastAsia="仿宋_GB2312"/>
          <w:b/>
        </w:rPr>
      </w:pPr>
      <w:r w:rsidRPr="006B11D2">
        <w:rPr>
          <w:rFonts w:eastAsia="仿宋_GB2312" w:hint="eastAsia"/>
          <w:b/>
        </w:rPr>
        <w:t>俞光耀总裁在</w:t>
      </w:r>
      <w:r w:rsidRPr="006B11D2">
        <w:rPr>
          <w:rFonts w:eastAsia="仿宋_GB2312" w:hint="eastAsia"/>
          <w:b/>
        </w:rPr>
        <w:t>5</w:t>
      </w:r>
      <w:r w:rsidRPr="006B11D2">
        <w:rPr>
          <w:rFonts w:eastAsia="仿宋_GB2312" w:hint="eastAsia"/>
          <w:b/>
        </w:rPr>
        <w:t>月运营月度例会上再次强调标准化工作推进要求</w:t>
      </w:r>
    </w:p>
    <w:p w:rsidR="006F7C69" w:rsidRPr="005A02B5" w:rsidRDefault="006B11D2" w:rsidP="005A02B5">
      <w:pPr>
        <w:snapToGrid w:val="0"/>
        <w:spacing w:line="500" w:lineRule="exact"/>
        <w:ind w:firstLineChars="200" w:firstLine="480"/>
        <w:rPr>
          <w:rFonts w:eastAsia="仿宋_GB2312"/>
        </w:rPr>
      </w:pPr>
      <w:r w:rsidRPr="005A02B5">
        <w:rPr>
          <w:rFonts w:eastAsia="仿宋_GB2312" w:hint="eastAsia"/>
        </w:rPr>
        <w:t>5</w:t>
      </w:r>
      <w:r w:rsidR="006F7C69" w:rsidRPr="005A02B5">
        <w:rPr>
          <w:rFonts w:eastAsia="仿宋_GB2312" w:hint="eastAsia"/>
        </w:rPr>
        <w:t>月</w:t>
      </w:r>
      <w:r w:rsidRPr="005A02B5">
        <w:rPr>
          <w:rFonts w:eastAsia="仿宋_GB2312" w:hint="eastAsia"/>
        </w:rPr>
        <w:t>8</w:t>
      </w:r>
      <w:r w:rsidRPr="005A02B5">
        <w:rPr>
          <w:rFonts w:eastAsia="仿宋_GB2312" w:hint="eastAsia"/>
        </w:rPr>
        <w:t>日上午</w:t>
      </w:r>
      <w:r w:rsidR="006F7C69" w:rsidRPr="005A02B5">
        <w:rPr>
          <w:rFonts w:eastAsia="仿宋_GB2312" w:hint="eastAsia"/>
        </w:rPr>
        <w:t>，俞光耀总裁在集团</w:t>
      </w:r>
      <w:r w:rsidRPr="005A02B5">
        <w:rPr>
          <w:rFonts w:eastAsia="仿宋_GB2312" w:hint="eastAsia"/>
        </w:rPr>
        <w:t>运营月度例会上再次强调</w:t>
      </w:r>
      <w:r w:rsidR="00AE1E18" w:rsidRPr="005A02B5">
        <w:rPr>
          <w:rFonts w:eastAsia="仿宋_GB2312" w:hint="eastAsia"/>
        </w:rPr>
        <w:t>了</w:t>
      </w:r>
      <w:r w:rsidRPr="005A02B5">
        <w:rPr>
          <w:rFonts w:eastAsia="仿宋_GB2312" w:hint="eastAsia"/>
        </w:rPr>
        <w:t>标准化工作的推进要求</w:t>
      </w:r>
      <w:r w:rsidR="00AE1E18" w:rsidRPr="005A02B5">
        <w:rPr>
          <w:rFonts w:eastAsia="仿宋_GB2312" w:hint="eastAsia"/>
        </w:rPr>
        <w:t>，具体如下</w:t>
      </w:r>
      <w:r w:rsidR="006F7C69" w:rsidRPr="005A02B5">
        <w:rPr>
          <w:rFonts w:eastAsia="仿宋_GB2312" w:hint="eastAsia"/>
        </w:rPr>
        <w:t>：</w:t>
      </w:r>
    </w:p>
    <w:p w:rsidR="006F7C69" w:rsidRPr="005A02B5" w:rsidRDefault="006B11D2" w:rsidP="0053382C">
      <w:pPr>
        <w:pStyle w:val="a9"/>
        <w:numPr>
          <w:ilvl w:val="0"/>
          <w:numId w:val="12"/>
        </w:numPr>
        <w:snapToGrid w:val="0"/>
        <w:spacing w:line="500" w:lineRule="exact"/>
        <w:ind w:left="851" w:firstLineChars="0" w:hanging="426"/>
        <w:rPr>
          <w:rFonts w:eastAsia="仿宋_GB2312"/>
        </w:rPr>
      </w:pPr>
      <w:r w:rsidRPr="005A02B5">
        <w:rPr>
          <w:rFonts w:eastAsia="仿宋_GB2312" w:hint="eastAsia"/>
        </w:rPr>
        <w:t>在前一阶段工作的基础上进一步统一思想、高度重视、有力推进</w:t>
      </w:r>
      <w:r w:rsidR="006F7C69" w:rsidRPr="005A02B5">
        <w:rPr>
          <w:rFonts w:eastAsia="仿宋_GB2312" w:hint="eastAsia"/>
        </w:rPr>
        <w:t>；</w:t>
      </w:r>
    </w:p>
    <w:p w:rsidR="006F7C69" w:rsidRPr="005A02B5" w:rsidRDefault="006B11D2" w:rsidP="0053382C">
      <w:pPr>
        <w:pStyle w:val="a9"/>
        <w:numPr>
          <w:ilvl w:val="0"/>
          <w:numId w:val="12"/>
        </w:numPr>
        <w:snapToGrid w:val="0"/>
        <w:spacing w:line="500" w:lineRule="exact"/>
        <w:ind w:left="851" w:firstLineChars="0" w:hanging="426"/>
        <w:rPr>
          <w:rFonts w:eastAsia="仿宋_GB2312"/>
        </w:rPr>
      </w:pPr>
      <w:r w:rsidRPr="005A02B5">
        <w:rPr>
          <w:rFonts w:eastAsia="仿宋_GB2312" w:hint="eastAsia"/>
        </w:rPr>
        <w:t>突出以运营为重点，各相关部门和有关单位的主要领导要亲自组织研究，分管领导具体负责</w:t>
      </w:r>
      <w:r w:rsidR="006F7C69" w:rsidRPr="005A02B5">
        <w:rPr>
          <w:rFonts w:eastAsia="仿宋_GB2312" w:hint="eastAsia"/>
        </w:rPr>
        <w:t>；</w:t>
      </w:r>
    </w:p>
    <w:p w:rsidR="006F7C69" w:rsidRPr="005A02B5" w:rsidRDefault="006B11D2" w:rsidP="0053382C">
      <w:pPr>
        <w:pStyle w:val="a9"/>
        <w:numPr>
          <w:ilvl w:val="0"/>
          <w:numId w:val="12"/>
        </w:numPr>
        <w:snapToGrid w:val="0"/>
        <w:spacing w:line="500" w:lineRule="exact"/>
        <w:ind w:left="851" w:firstLineChars="0" w:hanging="426"/>
        <w:rPr>
          <w:rFonts w:eastAsia="仿宋_GB2312"/>
        </w:rPr>
      </w:pPr>
      <w:r w:rsidRPr="005A02B5">
        <w:rPr>
          <w:rFonts w:eastAsia="仿宋_GB2312" w:hint="eastAsia"/>
        </w:rPr>
        <w:t>集团设立标准化室，各单位配备专</w:t>
      </w:r>
      <w:r w:rsidR="00395064">
        <w:rPr>
          <w:rFonts w:eastAsia="仿宋_GB2312" w:hint="eastAsia"/>
        </w:rPr>
        <w:t>兼</w:t>
      </w:r>
      <w:r w:rsidRPr="005A02B5">
        <w:rPr>
          <w:rFonts w:eastAsia="仿宋_GB2312" w:hint="eastAsia"/>
        </w:rPr>
        <w:t>职人员负责此项工作</w:t>
      </w:r>
      <w:r w:rsidR="006F7C69" w:rsidRPr="005A02B5">
        <w:rPr>
          <w:rFonts w:eastAsia="仿宋_GB2312" w:hint="eastAsia"/>
        </w:rPr>
        <w:t>；</w:t>
      </w:r>
    </w:p>
    <w:p w:rsidR="006F7C69" w:rsidRPr="005A02B5" w:rsidRDefault="006B11D2" w:rsidP="0053382C">
      <w:pPr>
        <w:pStyle w:val="a9"/>
        <w:numPr>
          <w:ilvl w:val="0"/>
          <w:numId w:val="12"/>
        </w:numPr>
        <w:snapToGrid w:val="0"/>
        <w:spacing w:line="500" w:lineRule="exact"/>
        <w:ind w:left="851" w:firstLineChars="0" w:hanging="426"/>
        <w:rPr>
          <w:rFonts w:eastAsia="仿宋_GB2312"/>
        </w:rPr>
      </w:pPr>
      <w:r w:rsidRPr="005A02B5">
        <w:rPr>
          <w:rFonts w:eastAsia="仿宋_GB2312" w:hint="eastAsia"/>
        </w:rPr>
        <w:t>标准体系要实现管理全覆盖，使各类规章、流程、制度真正做到“横向到边、纵向到底”，消除管理漏洞和盲区</w:t>
      </w:r>
      <w:r w:rsidR="006F7C69" w:rsidRPr="005A02B5">
        <w:rPr>
          <w:rFonts w:eastAsia="仿宋_GB2312" w:hint="eastAsia"/>
        </w:rPr>
        <w:t>；</w:t>
      </w:r>
    </w:p>
    <w:p w:rsidR="006F7C69" w:rsidRPr="005A02B5" w:rsidRDefault="006B11D2" w:rsidP="0053382C">
      <w:pPr>
        <w:pStyle w:val="a9"/>
        <w:numPr>
          <w:ilvl w:val="0"/>
          <w:numId w:val="12"/>
        </w:numPr>
        <w:snapToGrid w:val="0"/>
        <w:spacing w:line="500" w:lineRule="exact"/>
        <w:ind w:left="851" w:firstLineChars="0" w:hanging="426"/>
        <w:rPr>
          <w:rFonts w:eastAsia="仿宋_GB2312"/>
        </w:rPr>
      </w:pPr>
      <w:r w:rsidRPr="005A02B5">
        <w:rPr>
          <w:rFonts w:eastAsia="仿宋_GB2312" w:hint="eastAsia"/>
        </w:rPr>
        <w:t>进一步加强标准化培训力度。</w:t>
      </w:r>
    </w:p>
    <w:p w:rsidR="006F7C69" w:rsidRPr="006F7C69" w:rsidRDefault="00C539EE" w:rsidP="006F7C69">
      <w:pPr>
        <w:numPr>
          <w:ilvl w:val="0"/>
          <w:numId w:val="5"/>
        </w:numPr>
        <w:snapToGrid w:val="0"/>
        <w:spacing w:line="500" w:lineRule="exact"/>
        <w:rPr>
          <w:rFonts w:eastAsia="仿宋_GB2312"/>
          <w:b/>
        </w:rPr>
      </w:pPr>
      <w:r w:rsidRPr="00C539EE">
        <w:rPr>
          <w:rFonts w:eastAsia="仿宋_GB2312" w:hint="eastAsia"/>
          <w:b/>
        </w:rPr>
        <w:t>标准化室组织赴先进企业交流标准化工作经验</w:t>
      </w:r>
    </w:p>
    <w:p w:rsidR="002C1ECF" w:rsidRPr="00150337" w:rsidRDefault="002C1ECF" w:rsidP="00C539EE">
      <w:pPr>
        <w:snapToGrid w:val="0"/>
        <w:spacing w:line="500" w:lineRule="exact"/>
        <w:ind w:firstLineChars="200" w:firstLine="480"/>
        <w:rPr>
          <w:rFonts w:eastAsia="仿宋_GB2312"/>
        </w:rPr>
      </w:pPr>
      <w:r>
        <w:rPr>
          <w:rFonts w:eastAsia="仿宋_GB2312" w:hint="eastAsia"/>
        </w:rPr>
        <w:t>1</w:t>
      </w:r>
      <w:r>
        <w:rPr>
          <w:rFonts w:eastAsia="仿宋_GB2312" w:hint="eastAsia"/>
        </w:rPr>
        <w:t>）上</w:t>
      </w:r>
      <w:r w:rsidRPr="00150337">
        <w:rPr>
          <w:rFonts w:eastAsia="仿宋_GB2312" w:hint="eastAsia"/>
        </w:rPr>
        <w:t>海外高桥第三发电有限责任公司</w:t>
      </w:r>
    </w:p>
    <w:p w:rsidR="002C1ECF" w:rsidRPr="00150337" w:rsidRDefault="00150337" w:rsidP="00150337">
      <w:pPr>
        <w:snapToGrid w:val="0"/>
        <w:spacing w:line="500" w:lineRule="exact"/>
        <w:ind w:firstLineChars="200" w:firstLine="480"/>
        <w:rPr>
          <w:rFonts w:eastAsia="仿宋_GB2312"/>
        </w:rPr>
      </w:pPr>
      <w:r>
        <w:rPr>
          <w:rFonts w:eastAsia="仿宋_GB2312" w:hint="eastAsia"/>
          <w:noProof/>
        </w:rPr>
        <w:drawing>
          <wp:anchor distT="0" distB="0" distL="114300" distR="114300" simplePos="0" relativeHeight="251658752" behindDoc="0" locked="0" layoutInCell="1" allowOverlap="1">
            <wp:simplePos x="0" y="0"/>
            <wp:positionH relativeFrom="column">
              <wp:posOffset>2569845</wp:posOffset>
            </wp:positionH>
            <wp:positionV relativeFrom="paragraph">
              <wp:posOffset>146050</wp:posOffset>
            </wp:positionV>
            <wp:extent cx="2725420" cy="1569085"/>
            <wp:effectExtent l="133350" t="76200" r="113030" b="8826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2725420" cy="1569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C1ECF" w:rsidRPr="00150337">
        <w:rPr>
          <w:rFonts w:eastAsia="仿宋_GB2312" w:hint="eastAsia"/>
        </w:rPr>
        <w:t>5</w:t>
      </w:r>
      <w:r w:rsidR="002C1ECF" w:rsidRPr="00150337">
        <w:rPr>
          <w:rFonts w:eastAsia="仿宋_GB2312" w:hint="eastAsia"/>
        </w:rPr>
        <w:t>月</w:t>
      </w:r>
      <w:r w:rsidR="002C1ECF" w:rsidRPr="00150337">
        <w:rPr>
          <w:rFonts w:eastAsia="仿宋_GB2312" w:hint="eastAsia"/>
        </w:rPr>
        <w:t>21</w:t>
      </w:r>
      <w:r w:rsidR="002C1ECF" w:rsidRPr="00150337">
        <w:rPr>
          <w:rFonts w:eastAsia="仿宋_GB2312" w:hint="eastAsia"/>
        </w:rPr>
        <w:t>日，标准化室组织前往上海外高桥第三发电有限责任公司</w:t>
      </w:r>
      <w:r w:rsidR="00693C6E" w:rsidRPr="00150337">
        <w:rPr>
          <w:rFonts w:eastAsia="仿宋_GB2312" w:hint="eastAsia"/>
        </w:rPr>
        <w:t>（以下简称外三发电）</w:t>
      </w:r>
      <w:r w:rsidR="002C1ECF" w:rsidRPr="00150337">
        <w:rPr>
          <w:rFonts w:eastAsia="仿宋_GB2312" w:hint="eastAsia"/>
        </w:rPr>
        <w:t>交流标准化工作经验。</w:t>
      </w:r>
      <w:r w:rsidR="00693C6E" w:rsidRPr="00150337">
        <w:rPr>
          <w:rFonts w:eastAsia="仿宋_GB2312" w:hint="eastAsia"/>
        </w:rPr>
        <w:t>外三发电于</w:t>
      </w:r>
      <w:r w:rsidR="00693C6E" w:rsidRPr="00150337">
        <w:rPr>
          <w:rFonts w:eastAsia="仿宋_GB2312" w:hint="eastAsia"/>
        </w:rPr>
        <w:t>2005</w:t>
      </w:r>
      <w:r w:rsidR="00693C6E" w:rsidRPr="00150337">
        <w:rPr>
          <w:rFonts w:eastAsia="仿宋_GB2312" w:hint="eastAsia"/>
        </w:rPr>
        <w:t>年建厂，装机容量</w:t>
      </w:r>
      <w:r w:rsidR="00693C6E" w:rsidRPr="00150337">
        <w:rPr>
          <w:rFonts w:eastAsia="仿宋_GB2312" w:hint="eastAsia"/>
        </w:rPr>
        <w:t>500</w:t>
      </w:r>
      <w:r w:rsidR="00693C6E" w:rsidRPr="00150337">
        <w:rPr>
          <w:rFonts w:eastAsia="仿宋_GB2312" w:hint="eastAsia"/>
        </w:rPr>
        <w:t>万千瓦，</w:t>
      </w:r>
      <w:r w:rsidR="001C7935" w:rsidRPr="00150337">
        <w:rPr>
          <w:rFonts w:eastAsia="仿宋_GB2312" w:hint="eastAsia"/>
        </w:rPr>
        <w:t>是世界最高效的燃煤电厂，近年来荣获</w:t>
      </w:r>
      <w:r w:rsidR="001C7935" w:rsidRPr="00150337">
        <w:rPr>
          <w:rFonts w:eastAsia="仿宋_GB2312" w:hint="eastAsia"/>
        </w:rPr>
        <w:t>2012</w:t>
      </w:r>
      <w:r w:rsidR="001C7935" w:rsidRPr="00150337">
        <w:rPr>
          <w:rFonts w:eastAsia="仿宋_GB2312" w:hint="eastAsia"/>
        </w:rPr>
        <w:t>年度全国质量奖、</w:t>
      </w:r>
      <w:r w:rsidR="001C7935" w:rsidRPr="00150337">
        <w:rPr>
          <w:rFonts w:eastAsia="仿宋_GB2312"/>
        </w:rPr>
        <w:t>上海市企业管理现代化创新成果一等奖</w:t>
      </w:r>
      <w:r w:rsidR="001C7935" w:rsidRPr="00150337">
        <w:rPr>
          <w:rFonts w:eastAsia="仿宋_GB2312" w:hint="eastAsia"/>
        </w:rPr>
        <w:t>等荣誉。外三发电</w:t>
      </w:r>
      <w:r w:rsidR="00C509CE">
        <w:rPr>
          <w:rFonts w:eastAsia="仿宋_GB2312" w:hint="eastAsia"/>
        </w:rPr>
        <w:t>总经理办公室</w:t>
      </w:r>
      <w:r w:rsidR="001C7935" w:rsidRPr="00150337">
        <w:rPr>
          <w:rFonts w:eastAsia="仿宋_GB2312" w:hint="eastAsia"/>
        </w:rPr>
        <w:t>标准化工作的负责同志</w:t>
      </w:r>
      <w:r w:rsidR="00E402B5" w:rsidRPr="00150337">
        <w:rPr>
          <w:rFonts w:eastAsia="仿宋_GB2312" w:hint="eastAsia"/>
        </w:rPr>
        <w:t>介绍了企业标准体系</w:t>
      </w:r>
      <w:r w:rsidR="001C7935" w:rsidRPr="00150337">
        <w:rPr>
          <w:rFonts w:eastAsia="仿宋_GB2312" w:hint="eastAsia"/>
        </w:rPr>
        <w:t>构建和</w:t>
      </w:r>
      <w:r w:rsidR="00E402B5" w:rsidRPr="00150337">
        <w:rPr>
          <w:rFonts w:eastAsia="仿宋_GB2312" w:hint="eastAsia"/>
        </w:rPr>
        <w:t>标准化工作</w:t>
      </w:r>
      <w:r w:rsidR="001C7935" w:rsidRPr="00150337">
        <w:rPr>
          <w:rFonts w:eastAsia="仿宋_GB2312" w:hint="eastAsia"/>
        </w:rPr>
        <w:t>制度建设等方面</w:t>
      </w:r>
      <w:r w:rsidR="00E402B5" w:rsidRPr="00150337">
        <w:rPr>
          <w:rFonts w:eastAsia="仿宋_GB2312" w:hint="eastAsia"/>
        </w:rPr>
        <w:t>的经验</w:t>
      </w:r>
      <w:r w:rsidR="001C7935" w:rsidRPr="00150337">
        <w:rPr>
          <w:rFonts w:eastAsia="仿宋_GB2312" w:hint="eastAsia"/>
        </w:rPr>
        <w:t>，标准化室也</w:t>
      </w:r>
      <w:r w:rsidR="00D43F9D">
        <w:rPr>
          <w:rFonts w:eastAsia="仿宋_GB2312" w:hint="eastAsia"/>
        </w:rPr>
        <w:t>就</w:t>
      </w:r>
      <w:r w:rsidR="001C7935" w:rsidRPr="00150337">
        <w:rPr>
          <w:rFonts w:eastAsia="仿宋_GB2312" w:hint="eastAsia"/>
        </w:rPr>
        <w:t>标准化管理流程</w:t>
      </w:r>
      <w:r w:rsidR="00E402B5" w:rsidRPr="00150337">
        <w:rPr>
          <w:rFonts w:eastAsia="仿宋_GB2312" w:hint="eastAsia"/>
        </w:rPr>
        <w:t>和</w:t>
      </w:r>
      <w:r w:rsidR="001C7935" w:rsidRPr="00150337">
        <w:rPr>
          <w:rFonts w:eastAsia="仿宋_GB2312" w:hint="eastAsia"/>
        </w:rPr>
        <w:t>信息化</w:t>
      </w:r>
      <w:r w:rsidR="00D43F9D">
        <w:rPr>
          <w:rFonts w:eastAsia="仿宋_GB2312" w:hint="eastAsia"/>
        </w:rPr>
        <w:t>等问题做了深入交流</w:t>
      </w:r>
      <w:r w:rsidR="00E402B5" w:rsidRPr="00150337">
        <w:rPr>
          <w:rFonts w:eastAsia="仿宋_GB2312" w:hint="eastAsia"/>
        </w:rPr>
        <w:t>。</w:t>
      </w:r>
    </w:p>
    <w:p w:rsidR="006F7C69" w:rsidRPr="00150337" w:rsidRDefault="002C1ECF" w:rsidP="00150337">
      <w:pPr>
        <w:snapToGrid w:val="0"/>
        <w:spacing w:line="500" w:lineRule="exact"/>
        <w:ind w:firstLineChars="200" w:firstLine="480"/>
        <w:rPr>
          <w:rFonts w:eastAsia="仿宋_GB2312"/>
        </w:rPr>
      </w:pPr>
      <w:r w:rsidRPr="00150337">
        <w:rPr>
          <w:rFonts w:eastAsia="仿宋_GB2312" w:hint="eastAsia"/>
        </w:rPr>
        <w:t>2</w:t>
      </w:r>
      <w:r w:rsidRPr="00150337">
        <w:rPr>
          <w:rFonts w:eastAsia="仿宋_GB2312" w:hint="eastAsia"/>
        </w:rPr>
        <w:t>）上海大众出租</w:t>
      </w:r>
      <w:r w:rsidR="00693C6E" w:rsidRPr="00150337">
        <w:rPr>
          <w:rFonts w:eastAsia="仿宋_GB2312" w:hint="eastAsia"/>
        </w:rPr>
        <w:t>租赁汽车公司</w:t>
      </w:r>
    </w:p>
    <w:p w:rsidR="00693C6E" w:rsidRPr="00150337" w:rsidRDefault="00693C6E" w:rsidP="00150337">
      <w:pPr>
        <w:snapToGrid w:val="0"/>
        <w:spacing w:line="500" w:lineRule="exact"/>
        <w:ind w:firstLineChars="200" w:firstLine="480"/>
        <w:rPr>
          <w:rFonts w:eastAsia="仿宋_GB2312"/>
        </w:rPr>
      </w:pPr>
      <w:r w:rsidRPr="00150337">
        <w:rPr>
          <w:rFonts w:eastAsia="仿宋_GB2312" w:hint="eastAsia"/>
        </w:rPr>
        <w:t>5</w:t>
      </w:r>
      <w:r w:rsidRPr="00150337">
        <w:rPr>
          <w:rFonts w:eastAsia="仿宋_GB2312" w:hint="eastAsia"/>
        </w:rPr>
        <w:t>月</w:t>
      </w:r>
      <w:r w:rsidRPr="00150337">
        <w:rPr>
          <w:rFonts w:eastAsia="仿宋_GB2312" w:hint="eastAsia"/>
        </w:rPr>
        <w:t>22</w:t>
      </w:r>
      <w:r w:rsidRPr="00150337">
        <w:rPr>
          <w:rFonts w:eastAsia="仿宋_GB2312" w:hint="eastAsia"/>
        </w:rPr>
        <w:t>日，标准化室组织前往上海大众出租租赁汽车公司</w:t>
      </w:r>
      <w:r w:rsidR="00E402B5" w:rsidRPr="00150337">
        <w:rPr>
          <w:rFonts w:eastAsia="仿宋_GB2312" w:hint="eastAsia"/>
        </w:rPr>
        <w:t>交流标准化</w:t>
      </w:r>
      <w:r w:rsidR="007340C6" w:rsidRPr="00150337">
        <w:rPr>
          <w:rFonts w:eastAsia="仿宋_GB2312" w:hint="eastAsia"/>
        </w:rPr>
        <w:t>工作经验，</w:t>
      </w:r>
      <w:r w:rsidR="001A60EF" w:rsidRPr="00150337">
        <w:rPr>
          <w:rFonts w:eastAsia="仿宋_GB2312" w:hint="eastAsia"/>
        </w:rPr>
        <w:t>大众出租的标准化推进工作开始于世博会前，相关材料于</w:t>
      </w:r>
      <w:r w:rsidR="0010034C">
        <w:rPr>
          <w:rFonts w:eastAsia="仿宋_GB2312" w:hint="eastAsia"/>
        </w:rPr>
        <w:t>20</w:t>
      </w:r>
      <w:r w:rsidR="001A60EF" w:rsidRPr="00150337">
        <w:rPr>
          <w:rFonts w:eastAsia="仿宋_GB2312" w:hint="eastAsia"/>
        </w:rPr>
        <w:t>12</w:t>
      </w:r>
      <w:r w:rsidR="001A60EF" w:rsidRPr="00150337">
        <w:rPr>
          <w:rFonts w:eastAsia="仿宋_GB2312" w:hint="eastAsia"/>
        </w:rPr>
        <w:t>年</w:t>
      </w:r>
      <w:r w:rsidR="001A60EF" w:rsidRPr="00150337">
        <w:rPr>
          <w:rFonts w:eastAsia="仿宋_GB2312" w:hint="eastAsia"/>
        </w:rPr>
        <w:t>6</w:t>
      </w:r>
      <w:r w:rsidR="001A60EF" w:rsidRPr="00150337">
        <w:rPr>
          <w:rFonts w:eastAsia="仿宋_GB2312" w:hint="eastAsia"/>
        </w:rPr>
        <w:t>月定稿，自编标准率达到</w:t>
      </w:r>
      <w:r w:rsidR="001A60EF" w:rsidRPr="00150337">
        <w:rPr>
          <w:rFonts w:eastAsia="仿宋_GB2312" w:hint="eastAsia"/>
        </w:rPr>
        <w:t>75%</w:t>
      </w:r>
      <w:r w:rsidR="001A60EF" w:rsidRPr="00150337">
        <w:rPr>
          <w:rFonts w:eastAsia="仿宋_GB2312" w:hint="eastAsia"/>
        </w:rPr>
        <w:t>左右。</w:t>
      </w:r>
      <w:r w:rsidR="007340C6" w:rsidRPr="00150337">
        <w:rPr>
          <w:rFonts w:eastAsia="仿宋_GB2312" w:hint="eastAsia"/>
        </w:rPr>
        <w:t>大众出租运营管理部王经理介绍了标准化工作的推进历程、组织机构、自评和评审等方面经验</w:t>
      </w:r>
      <w:r w:rsidR="001A60EF" w:rsidRPr="00150337">
        <w:rPr>
          <w:rFonts w:eastAsia="仿宋_GB2312" w:hint="eastAsia"/>
        </w:rPr>
        <w:t>，</w:t>
      </w:r>
      <w:r w:rsidR="00395064">
        <w:rPr>
          <w:rFonts w:eastAsia="仿宋_GB2312" w:hint="eastAsia"/>
        </w:rPr>
        <w:t>并与</w:t>
      </w:r>
      <w:r w:rsidR="001A60EF" w:rsidRPr="00150337">
        <w:rPr>
          <w:rFonts w:eastAsia="仿宋_GB2312" w:hint="eastAsia"/>
        </w:rPr>
        <w:t>标准化室</w:t>
      </w:r>
      <w:r w:rsidR="00395064">
        <w:rPr>
          <w:rFonts w:eastAsia="仿宋_GB2312" w:hint="eastAsia"/>
        </w:rPr>
        <w:t>同志就标准化推进</w:t>
      </w:r>
      <w:r w:rsidR="00395064">
        <w:rPr>
          <w:rFonts w:eastAsia="仿宋_GB2312" w:hint="eastAsia"/>
        </w:rPr>
        <w:lastRenderedPageBreak/>
        <w:t>等工作进行了广泛的交流</w:t>
      </w:r>
      <w:r w:rsidR="001A60EF" w:rsidRPr="00150337">
        <w:rPr>
          <w:rFonts w:eastAsia="仿宋_GB2312" w:hint="eastAsia"/>
        </w:rPr>
        <w:t>。</w:t>
      </w:r>
    </w:p>
    <w:p w:rsidR="006F7C69" w:rsidRPr="006F7C69" w:rsidRDefault="00150337" w:rsidP="006F7C69">
      <w:pPr>
        <w:numPr>
          <w:ilvl w:val="0"/>
          <w:numId w:val="5"/>
        </w:numPr>
        <w:snapToGrid w:val="0"/>
        <w:spacing w:line="500" w:lineRule="exact"/>
        <w:rPr>
          <w:rFonts w:eastAsia="仿宋_GB2312"/>
          <w:b/>
        </w:rPr>
      </w:pPr>
      <w:r>
        <w:rPr>
          <w:rFonts w:eastAsia="仿宋_GB2312" w:hint="eastAsia"/>
          <w:b/>
        </w:rPr>
        <w:t>细化标准初审要求</w:t>
      </w:r>
    </w:p>
    <w:p w:rsidR="00C107DF" w:rsidRPr="00B56CD9" w:rsidRDefault="00C107DF" w:rsidP="00B56CD9">
      <w:pPr>
        <w:snapToGrid w:val="0"/>
        <w:spacing w:line="500" w:lineRule="exact"/>
        <w:ind w:firstLineChars="200" w:firstLine="480"/>
        <w:rPr>
          <w:rFonts w:eastAsia="仿宋_GB2312"/>
        </w:rPr>
      </w:pPr>
      <w:r w:rsidRPr="00150337">
        <w:rPr>
          <w:rFonts w:eastAsia="仿宋_GB2312" w:hint="eastAsia"/>
        </w:rPr>
        <w:t>集团</w:t>
      </w:r>
      <w:r w:rsidR="00650B42">
        <w:rPr>
          <w:rFonts w:eastAsia="仿宋_GB2312" w:hint="eastAsia"/>
        </w:rPr>
        <w:t>标准化推进工作</w:t>
      </w:r>
      <w:r w:rsidR="00650B42">
        <w:rPr>
          <w:rFonts w:eastAsia="仿宋_GB2312" w:hint="eastAsia"/>
        </w:rPr>
        <w:t>6</w:t>
      </w:r>
      <w:r w:rsidR="00650B42">
        <w:rPr>
          <w:rFonts w:eastAsia="仿宋_GB2312" w:hint="eastAsia"/>
        </w:rPr>
        <w:t>月份将进入</w:t>
      </w:r>
      <w:r w:rsidRPr="00150337">
        <w:rPr>
          <w:rFonts w:eastAsia="仿宋_GB2312" w:hint="eastAsia"/>
        </w:rPr>
        <w:t>标准的集中审查阶段。为</w:t>
      </w:r>
      <w:r w:rsidR="00536374">
        <w:rPr>
          <w:rFonts w:eastAsia="仿宋_GB2312" w:hint="eastAsia"/>
        </w:rPr>
        <w:t>确保</w:t>
      </w:r>
      <w:r w:rsidRPr="00150337">
        <w:rPr>
          <w:rFonts w:eastAsia="仿宋_GB2312" w:hint="eastAsia"/>
        </w:rPr>
        <w:t>标准审查的进度和质量，</w:t>
      </w:r>
      <w:r w:rsidR="00650B42">
        <w:rPr>
          <w:rFonts w:eastAsia="仿宋_GB2312" w:hint="eastAsia"/>
        </w:rPr>
        <w:t>标准化室</w:t>
      </w:r>
      <w:r w:rsidR="000F4D30">
        <w:rPr>
          <w:rFonts w:eastAsia="仿宋_GB2312" w:hint="eastAsia"/>
        </w:rPr>
        <w:t>提出</w:t>
      </w:r>
      <w:r w:rsidR="00F26A86">
        <w:rPr>
          <w:rFonts w:eastAsia="仿宋_GB2312" w:hint="eastAsia"/>
        </w:rPr>
        <w:t>了</w:t>
      </w:r>
      <w:r w:rsidR="007C771F">
        <w:rPr>
          <w:rFonts w:eastAsia="仿宋_GB2312" w:hint="eastAsia"/>
        </w:rPr>
        <w:t>集团级和直属单位级</w:t>
      </w:r>
      <w:r w:rsidR="00F26A86">
        <w:rPr>
          <w:rFonts w:eastAsia="仿宋_GB2312" w:hint="eastAsia"/>
        </w:rPr>
        <w:t>两级审查</w:t>
      </w:r>
      <w:r w:rsidR="007C771F">
        <w:rPr>
          <w:rFonts w:eastAsia="仿宋_GB2312" w:hint="eastAsia"/>
        </w:rPr>
        <w:t>的初审模式和标准审核的要求（详</w:t>
      </w:r>
      <w:r w:rsidR="00F26A86">
        <w:rPr>
          <w:rFonts w:eastAsia="仿宋_GB2312" w:hint="eastAsia"/>
        </w:rPr>
        <w:t>见附件二</w:t>
      </w:r>
      <w:r w:rsidR="007C771F">
        <w:rPr>
          <w:rFonts w:eastAsia="仿宋_GB2312" w:hint="eastAsia"/>
        </w:rPr>
        <w:t>）</w:t>
      </w:r>
      <w:r w:rsidR="00F26A86">
        <w:rPr>
          <w:rFonts w:eastAsia="仿宋_GB2312" w:hint="eastAsia"/>
        </w:rPr>
        <w:t>。</w:t>
      </w:r>
    </w:p>
    <w:p w:rsidR="00B56CD9" w:rsidRPr="006F7C69" w:rsidRDefault="00B56CD9" w:rsidP="00B56CD9">
      <w:pPr>
        <w:numPr>
          <w:ilvl w:val="0"/>
          <w:numId w:val="5"/>
        </w:numPr>
        <w:snapToGrid w:val="0"/>
        <w:spacing w:line="500" w:lineRule="exact"/>
        <w:rPr>
          <w:rFonts w:eastAsia="仿宋_GB2312"/>
          <w:b/>
        </w:rPr>
      </w:pPr>
      <w:r>
        <w:rPr>
          <w:rFonts w:eastAsia="仿宋_GB2312" w:hint="eastAsia"/>
          <w:b/>
        </w:rPr>
        <w:t>标准化室</w:t>
      </w:r>
      <w:r w:rsidR="009229F3">
        <w:rPr>
          <w:rFonts w:eastAsia="仿宋_GB2312" w:hint="eastAsia"/>
          <w:b/>
        </w:rPr>
        <w:t>赴</w:t>
      </w:r>
      <w:r>
        <w:rPr>
          <w:rFonts w:eastAsia="仿宋_GB2312" w:hint="eastAsia"/>
          <w:b/>
        </w:rPr>
        <w:t>维保中心</w:t>
      </w:r>
      <w:r w:rsidR="009229F3">
        <w:rPr>
          <w:rFonts w:eastAsia="仿宋_GB2312" w:hint="eastAsia"/>
          <w:b/>
        </w:rPr>
        <w:t>现场推进</w:t>
      </w:r>
      <w:r>
        <w:rPr>
          <w:rFonts w:eastAsia="仿宋_GB2312" w:hint="eastAsia"/>
          <w:b/>
        </w:rPr>
        <w:t>标准化工作</w:t>
      </w:r>
    </w:p>
    <w:p w:rsidR="00C107DF" w:rsidRPr="009229F3" w:rsidRDefault="009229F3" w:rsidP="00C53955">
      <w:pPr>
        <w:snapToGrid w:val="0"/>
        <w:spacing w:line="500" w:lineRule="exact"/>
        <w:ind w:firstLineChars="200" w:firstLine="480"/>
        <w:rPr>
          <w:rFonts w:eastAsia="仿宋_GB2312"/>
        </w:rPr>
      </w:pPr>
      <w:r>
        <w:rPr>
          <w:rFonts w:eastAsia="仿宋_GB2312" w:hint="eastAsia"/>
        </w:rPr>
        <w:t>5</w:t>
      </w:r>
      <w:r>
        <w:rPr>
          <w:rFonts w:eastAsia="仿宋_GB2312" w:hint="eastAsia"/>
        </w:rPr>
        <w:t>月</w:t>
      </w:r>
      <w:r>
        <w:rPr>
          <w:rFonts w:eastAsia="仿宋_GB2312" w:hint="eastAsia"/>
        </w:rPr>
        <w:t>21</w:t>
      </w:r>
      <w:r>
        <w:rPr>
          <w:rFonts w:eastAsia="仿宋_GB2312" w:hint="eastAsia"/>
        </w:rPr>
        <w:t>日下午，标准化室在恒通</w:t>
      </w:r>
      <w:r w:rsidR="0014750F">
        <w:rPr>
          <w:rFonts w:eastAsia="仿宋_GB2312" w:hint="eastAsia"/>
        </w:rPr>
        <w:t>大厦</w:t>
      </w:r>
      <w:r>
        <w:rPr>
          <w:rFonts w:eastAsia="仿宋_GB2312" w:hint="eastAsia"/>
        </w:rPr>
        <w:t>18</w:t>
      </w:r>
      <w:r>
        <w:rPr>
          <w:rFonts w:eastAsia="仿宋_GB2312" w:hint="eastAsia"/>
        </w:rPr>
        <w:t>楼会议室</w:t>
      </w:r>
      <w:r w:rsidR="002B7728">
        <w:rPr>
          <w:rFonts w:eastAsia="仿宋_GB2312" w:hint="eastAsia"/>
        </w:rPr>
        <w:t>与维保中心共同商议</w:t>
      </w:r>
      <w:r>
        <w:rPr>
          <w:rFonts w:eastAsia="仿宋_GB2312" w:hint="eastAsia"/>
        </w:rPr>
        <w:t>标准化推进工作中的问题和对策。维保中心介绍了中心本部</w:t>
      </w:r>
      <w:r w:rsidR="00EA62DE">
        <w:rPr>
          <w:rFonts w:eastAsia="仿宋_GB2312" w:hint="eastAsia"/>
        </w:rPr>
        <w:t>和设施设备部</w:t>
      </w:r>
      <w:r w:rsidR="00F66E97">
        <w:rPr>
          <w:rFonts w:eastAsia="仿宋_GB2312" w:hint="eastAsia"/>
        </w:rPr>
        <w:t>在</w:t>
      </w:r>
      <w:r>
        <w:rPr>
          <w:rFonts w:eastAsia="仿宋_GB2312" w:hint="eastAsia"/>
        </w:rPr>
        <w:t>标准体系构建和标准编制</w:t>
      </w:r>
      <w:r w:rsidR="00B70054">
        <w:rPr>
          <w:rFonts w:eastAsia="仿宋_GB2312" w:hint="eastAsia"/>
        </w:rPr>
        <w:t>过程</w:t>
      </w:r>
      <w:r>
        <w:rPr>
          <w:rFonts w:eastAsia="仿宋_GB2312" w:hint="eastAsia"/>
        </w:rPr>
        <w:t>中存在的问题，标准化室传达了集团领导提出的</w:t>
      </w:r>
      <w:r w:rsidR="003E6DC5">
        <w:rPr>
          <w:rFonts w:eastAsia="仿宋_GB2312" w:hint="eastAsia"/>
        </w:rPr>
        <w:t>要求，</w:t>
      </w:r>
      <w:r w:rsidR="00EA62DE">
        <w:rPr>
          <w:rFonts w:eastAsia="仿宋_GB2312" w:hint="eastAsia"/>
        </w:rPr>
        <w:t>并</w:t>
      </w:r>
      <w:r w:rsidR="003E6DC5">
        <w:rPr>
          <w:rFonts w:eastAsia="仿宋_GB2312" w:hint="eastAsia"/>
        </w:rPr>
        <w:t>针对如何做到管理全覆盖和提升标准编制质量做了深入阐述</w:t>
      </w:r>
      <w:r w:rsidR="00FA0AF2">
        <w:rPr>
          <w:rFonts w:eastAsia="仿宋_GB2312" w:hint="eastAsia"/>
        </w:rPr>
        <w:t>。</w:t>
      </w:r>
      <w:r w:rsidR="00EA62DE">
        <w:rPr>
          <w:rFonts w:eastAsia="仿宋_GB2312" w:hint="eastAsia"/>
        </w:rPr>
        <w:t>标准化室专家还</w:t>
      </w:r>
      <w:r w:rsidR="002B7C00">
        <w:rPr>
          <w:rFonts w:eastAsia="仿宋_GB2312" w:hint="eastAsia"/>
        </w:rPr>
        <w:t>对编制人员</w:t>
      </w:r>
      <w:r w:rsidR="00EA62DE">
        <w:rPr>
          <w:rFonts w:eastAsia="仿宋_GB2312" w:hint="eastAsia"/>
        </w:rPr>
        <w:t>就《专业技术职务聘任管理工作实施细则》等典型标准</w:t>
      </w:r>
      <w:r w:rsidR="002B7C00">
        <w:rPr>
          <w:rFonts w:eastAsia="仿宋_GB2312" w:hint="eastAsia"/>
        </w:rPr>
        <w:t>在</w:t>
      </w:r>
      <w:r w:rsidR="00EA62DE">
        <w:rPr>
          <w:rFonts w:eastAsia="仿宋_GB2312" w:hint="eastAsia"/>
        </w:rPr>
        <w:t>编制中遇到的行文逻辑、语言文字等问题进行了</w:t>
      </w:r>
      <w:r w:rsidR="00FA0AF2">
        <w:rPr>
          <w:rFonts w:eastAsia="仿宋_GB2312" w:hint="eastAsia"/>
        </w:rPr>
        <w:t>一对一</w:t>
      </w:r>
      <w:r w:rsidR="00EA62DE">
        <w:rPr>
          <w:rFonts w:eastAsia="仿宋_GB2312" w:hint="eastAsia"/>
        </w:rPr>
        <w:t>指导。</w:t>
      </w:r>
      <w:r w:rsidR="00C509CE">
        <w:rPr>
          <w:rFonts w:eastAsia="仿宋_GB2312" w:hint="eastAsia"/>
        </w:rPr>
        <w:t>维保中心将在下阶段重点核实管理标准的覆盖面问题</w:t>
      </w:r>
      <w:r w:rsidR="009E5D1D">
        <w:rPr>
          <w:rFonts w:eastAsia="仿宋_GB2312" w:hint="eastAsia"/>
        </w:rPr>
        <w:t>，并着力</w:t>
      </w:r>
      <w:r w:rsidR="008F488C">
        <w:rPr>
          <w:rFonts w:eastAsia="仿宋_GB2312" w:hint="eastAsia"/>
        </w:rPr>
        <w:t>改善</w:t>
      </w:r>
      <w:r w:rsidR="009E5D1D">
        <w:rPr>
          <w:rFonts w:eastAsia="仿宋_GB2312" w:hint="eastAsia"/>
        </w:rPr>
        <w:t>标准质量</w:t>
      </w:r>
      <w:r w:rsidR="00C509CE">
        <w:rPr>
          <w:rFonts w:eastAsia="仿宋_GB2312" w:hint="eastAsia"/>
        </w:rPr>
        <w:t>。</w:t>
      </w:r>
    </w:p>
    <w:p w:rsidR="006F7C69" w:rsidRPr="00C53955" w:rsidRDefault="006F7C69" w:rsidP="00770E61">
      <w:pPr>
        <w:numPr>
          <w:ilvl w:val="0"/>
          <w:numId w:val="2"/>
        </w:numPr>
        <w:snapToGrid w:val="0"/>
        <w:spacing w:beforeLines="100" w:line="500" w:lineRule="exact"/>
        <w:rPr>
          <w:rFonts w:eastAsia="仿宋_GB2312"/>
          <w:b/>
          <w:sz w:val="28"/>
          <w:szCs w:val="28"/>
        </w:rPr>
      </w:pPr>
      <w:r w:rsidRPr="00C53955">
        <w:rPr>
          <w:rFonts w:eastAsia="仿宋_GB2312" w:hint="eastAsia"/>
          <w:b/>
          <w:sz w:val="28"/>
          <w:szCs w:val="28"/>
        </w:rPr>
        <w:t>下月重点工作</w:t>
      </w:r>
    </w:p>
    <w:p w:rsidR="006F7C69" w:rsidRPr="00C53955" w:rsidRDefault="00EF5F81" w:rsidP="006F7C69">
      <w:pPr>
        <w:numPr>
          <w:ilvl w:val="0"/>
          <w:numId w:val="8"/>
        </w:numPr>
        <w:snapToGrid w:val="0"/>
        <w:spacing w:line="500" w:lineRule="exact"/>
        <w:rPr>
          <w:rFonts w:eastAsia="仿宋_GB2312"/>
          <w:b/>
        </w:rPr>
      </w:pPr>
      <w:r w:rsidRPr="00C53955">
        <w:rPr>
          <w:rFonts w:eastAsia="仿宋_GB2312" w:hint="eastAsia"/>
          <w:b/>
        </w:rPr>
        <w:t>做好标准编制的收尾工作</w:t>
      </w:r>
    </w:p>
    <w:p w:rsidR="00C107DF" w:rsidRPr="00C53955" w:rsidRDefault="00D768E9" w:rsidP="00271C2D">
      <w:pPr>
        <w:snapToGrid w:val="0"/>
        <w:spacing w:line="500" w:lineRule="exact"/>
        <w:ind w:firstLineChars="200" w:firstLine="480"/>
        <w:rPr>
          <w:rFonts w:eastAsia="仿宋_GB2312"/>
        </w:rPr>
      </w:pPr>
      <w:r w:rsidRPr="00C53955">
        <w:rPr>
          <w:rFonts w:eastAsia="仿宋_GB2312" w:hint="eastAsia"/>
        </w:rPr>
        <w:t>按标准体系明细表</w:t>
      </w:r>
      <w:r w:rsidR="00EF5F81" w:rsidRPr="00C53955">
        <w:rPr>
          <w:rFonts w:eastAsia="仿宋_GB2312" w:hint="eastAsia"/>
        </w:rPr>
        <w:t>计划继续推进编制工作。</w:t>
      </w:r>
      <w:r w:rsidR="00EF5F81" w:rsidRPr="00C53955">
        <w:rPr>
          <w:rFonts w:eastAsia="仿宋_GB2312" w:hint="eastAsia"/>
        </w:rPr>
        <w:t>6</w:t>
      </w:r>
      <w:r w:rsidR="00CB748F" w:rsidRPr="00C53955">
        <w:rPr>
          <w:rFonts w:eastAsia="仿宋_GB2312" w:hint="eastAsia"/>
        </w:rPr>
        <w:t>月计划完成</w:t>
      </w:r>
      <w:r w:rsidR="006F7C69" w:rsidRPr="00C53955">
        <w:rPr>
          <w:rFonts w:eastAsia="仿宋_GB2312" w:hint="eastAsia"/>
        </w:rPr>
        <w:t>标准</w:t>
      </w:r>
      <w:r w:rsidR="00CB748F" w:rsidRPr="00C53955">
        <w:rPr>
          <w:rFonts w:eastAsia="仿宋_GB2312" w:hint="eastAsia"/>
        </w:rPr>
        <w:t>编制</w:t>
      </w:r>
      <w:r w:rsidR="00B26586">
        <w:rPr>
          <w:rFonts w:eastAsia="仿宋_GB2312" w:hint="eastAsia"/>
        </w:rPr>
        <w:t>9</w:t>
      </w:r>
      <w:r w:rsidR="00B26586">
        <w:rPr>
          <w:rFonts w:eastAsia="仿宋_GB2312" w:hint="eastAsia"/>
        </w:rPr>
        <w:t>个</w:t>
      </w:r>
      <w:r w:rsidR="006F7C69" w:rsidRPr="00C53955">
        <w:rPr>
          <w:rFonts w:eastAsia="仿宋_GB2312" w:hint="eastAsia"/>
        </w:rPr>
        <w:t>，预计月底</w:t>
      </w:r>
      <w:r w:rsidRPr="00C53955">
        <w:rPr>
          <w:rFonts w:eastAsia="仿宋_GB2312" w:hint="eastAsia"/>
        </w:rPr>
        <w:t>累计</w:t>
      </w:r>
      <w:r w:rsidR="006F7C69" w:rsidRPr="00C53955">
        <w:rPr>
          <w:rFonts w:eastAsia="仿宋_GB2312" w:hint="eastAsia"/>
        </w:rPr>
        <w:t>完成标准</w:t>
      </w:r>
      <w:r w:rsidRPr="00C53955">
        <w:rPr>
          <w:rFonts w:eastAsia="仿宋_GB2312" w:hint="eastAsia"/>
        </w:rPr>
        <w:t>编制</w:t>
      </w:r>
      <w:r w:rsidR="00B26586">
        <w:rPr>
          <w:rFonts w:eastAsia="仿宋_GB2312" w:hint="eastAsia"/>
        </w:rPr>
        <w:t xml:space="preserve"> 1785</w:t>
      </w:r>
      <w:r w:rsidR="00B26586">
        <w:rPr>
          <w:rFonts w:eastAsia="仿宋_GB2312" w:hint="eastAsia"/>
        </w:rPr>
        <w:t>个</w:t>
      </w:r>
      <w:r w:rsidR="006F7C69" w:rsidRPr="00C53955">
        <w:rPr>
          <w:rFonts w:eastAsia="仿宋_GB2312" w:hint="eastAsia"/>
        </w:rPr>
        <w:t>，累计完成率</w:t>
      </w:r>
      <w:r w:rsidR="00B26586">
        <w:rPr>
          <w:rFonts w:eastAsia="仿宋_GB2312" w:hint="eastAsia"/>
        </w:rPr>
        <w:t>100</w:t>
      </w:r>
      <w:r w:rsidR="00CB748F" w:rsidRPr="00C53955">
        <w:rPr>
          <w:rFonts w:eastAsia="仿宋_GB2312" w:hint="eastAsia"/>
        </w:rPr>
        <w:t>%</w:t>
      </w:r>
      <w:r w:rsidR="00B26586">
        <w:rPr>
          <w:rFonts w:eastAsia="仿宋_GB2312" w:hint="eastAsia"/>
        </w:rPr>
        <w:t>，完成标准体系</w:t>
      </w:r>
      <w:r w:rsidR="006F7C69" w:rsidRPr="00C53955">
        <w:rPr>
          <w:rFonts w:eastAsia="仿宋_GB2312" w:hint="eastAsia"/>
        </w:rPr>
        <w:t>构建工作。</w:t>
      </w:r>
    </w:p>
    <w:p w:rsidR="00EF5F81" w:rsidRPr="00C53955" w:rsidRDefault="00EF5F81" w:rsidP="00EF5F81">
      <w:pPr>
        <w:numPr>
          <w:ilvl w:val="0"/>
          <w:numId w:val="8"/>
        </w:numPr>
        <w:snapToGrid w:val="0"/>
        <w:spacing w:line="500" w:lineRule="exact"/>
        <w:rPr>
          <w:rFonts w:eastAsia="仿宋_GB2312"/>
          <w:b/>
        </w:rPr>
      </w:pPr>
      <w:r w:rsidRPr="00C53955">
        <w:rPr>
          <w:rFonts w:eastAsia="仿宋_GB2312" w:hint="eastAsia"/>
          <w:b/>
        </w:rPr>
        <w:t>深入开展标准初审工作</w:t>
      </w:r>
    </w:p>
    <w:p w:rsidR="00E94DC3" w:rsidRPr="00C53955" w:rsidRDefault="00E94DC3" w:rsidP="00271C2D">
      <w:pPr>
        <w:snapToGrid w:val="0"/>
        <w:spacing w:line="500" w:lineRule="exact"/>
        <w:ind w:firstLineChars="200" w:firstLine="480"/>
        <w:rPr>
          <w:rFonts w:eastAsia="仿宋_GB2312"/>
        </w:rPr>
      </w:pPr>
      <w:r w:rsidRPr="00C53955">
        <w:rPr>
          <w:rFonts w:eastAsia="仿宋_GB2312" w:hint="eastAsia"/>
        </w:rPr>
        <w:t>标准化室</w:t>
      </w:r>
      <w:r w:rsidR="00AA51C2" w:rsidRPr="00C53955">
        <w:rPr>
          <w:rFonts w:eastAsia="仿宋_GB2312" w:hint="eastAsia"/>
        </w:rPr>
        <w:t>提出</w:t>
      </w:r>
      <w:r w:rsidR="00271C2D" w:rsidRPr="00C53955">
        <w:rPr>
          <w:rFonts w:eastAsia="仿宋_GB2312" w:hint="eastAsia"/>
        </w:rPr>
        <w:t>了标准审查</w:t>
      </w:r>
      <w:r w:rsidRPr="00C53955">
        <w:rPr>
          <w:rFonts w:eastAsia="仿宋_GB2312" w:hint="eastAsia"/>
        </w:rPr>
        <w:t>要求，各单位</w:t>
      </w:r>
      <w:r w:rsidR="00271C2D" w:rsidRPr="00C53955">
        <w:rPr>
          <w:rFonts w:eastAsia="仿宋_GB2312" w:hint="eastAsia"/>
        </w:rPr>
        <w:t>将按此</w:t>
      </w:r>
      <w:r w:rsidR="00166BCB">
        <w:rPr>
          <w:rFonts w:eastAsia="仿宋_GB2312" w:hint="eastAsia"/>
        </w:rPr>
        <w:t>开展</w:t>
      </w:r>
      <w:r w:rsidR="00AA51C2" w:rsidRPr="00C53955">
        <w:rPr>
          <w:rFonts w:eastAsia="仿宋_GB2312" w:hint="eastAsia"/>
        </w:rPr>
        <w:t>标准的初审工作，并在自查表中详</w:t>
      </w:r>
      <w:r w:rsidR="00271C2D" w:rsidRPr="00C53955">
        <w:rPr>
          <w:rFonts w:eastAsia="仿宋_GB2312" w:hint="eastAsia"/>
        </w:rPr>
        <w:t>细列明对</w:t>
      </w:r>
      <w:r w:rsidR="00AA51C2" w:rsidRPr="00C53955">
        <w:rPr>
          <w:rFonts w:eastAsia="仿宋_GB2312" w:hint="eastAsia"/>
        </w:rPr>
        <w:t>格式合规性、修订条文的合理性等方面的具体检查</w:t>
      </w:r>
      <w:r w:rsidR="006645FC">
        <w:rPr>
          <w:rFonts w:eastAsia="仿宋_GB2312" w:hint="eastAsia"/>
        </w:rPr>
        <w:t>内容</w:t>
      </w:r>
      <w:r w:rsidR="00AA51C2" w:rsidRPr="00C53955">
        <w:rPr>
          <w:rFonts w:eastAsia="仿宋_GB2312" w:hint="eastAsia"/>
        </w:rPr>
        <w:t>，确保标准初审工作落到实处，为</w:t>
      </w:r>
      <w:r w:rsidR="00C66503">
        <w:rPr>
          <w:rFonts w:eastAsia="仿宋_GB2312" w:hint="eastAsia"/>
        </w:rPr>
        <w:t>下</w:t>
      </w:r>
      <w:r w:rsidR="00166BCB">
        <w:rPr>
          <w:rFonts w:eastAsia="仿宋_GB2312" w:hint="eastAsia"/>
        </w:rPr>
        <w:t>阶段实施</w:t>
      </w:r>
      <w:r w:rsidR="00AA51C2" w:rsidRPr="00C53955">
        <w:rPr>
          <w:rFonts w:eastAsia="仿宋_GB2312" w:hint="eastAsia"/>
        </w:rPr>
        <w:t>标准、促进管理全覆盖和标准体系评审打下坚实</w:t>
      </w:r>
      <w:r w:rsidR="00166BCB">
        <w:rPr>
          <w:rFonts w:eastAsia="仿宋_GB2312" w:hint="eastAsia"/>
        </w:rPr>
        <w:t>的制度</w:t>
      </w:r>
      <w:r w:rsidR="00AA51C2" w:rsidRPr="00C53955">
        <w:rPr>
          <w:rFonts w:eastAsia="仿宋_GB2312" w:hint="eastAsia"/>
        </w:rPr>
        <w:t>基础。</w:t>
      </w:r>
    </w:p>
    <w:p w:rsidR="006F7C69" w:rsidRPr="00C53955" w:rsidRDefault="00AA3777" w:rsidP="006F7C69">
      <w:pPr>
        <w:numPr>
          <w:ilvl w:val="0"/>
          <w:numId w:val="8"/>
        </w:numPr>
        <w:snapToGrid w:val="0"/>
        <w:spacing w:line="500" w:lineRule="exact"/>
        <w:rPr>
          <w:rFonts w:eastAsia="仿宋_GB2312"/>
          <w:b/>
        </w:rPr>
      </w:pPr>
      <w:r w:rsidRPr="00C53955">
        <w:rPr>
          <w:rFonts w:eastAsia="仿宋_GB2312" w:hint="eastAsia"/>
          <w:b/>
        </w:rPr>
        <w:t>按</w:t>
      </w:r>
      <w:r w:rsidR="00A05919" w:rsidRPr="00C53955">
        <w:rPr>
          <w:rFonts w:eastAsia="仿宋_GB2312" w:hint="eastAsia"/>
          <w:b/>
        </w:rPr>
        <w:t>管理</w:t>
      </w:r>
      <w:r w:rsidR="006F7C69" w:rsidRPr="00C53955">
        <w:rPr>
          <w:rFonts w:eastAsia="仿宋_GB2312" w:hint="eastAsia"/>
          <w:b/>
        </w:rPr>
        <w:t>全覆盖</w:t>
      </w:r>
      <w:r w:rsidRPr="00C53955">
        <w:rPr>
          <w:rFonts w:eastAsia="仿宋_GB2312" w:hint="eastAsia"/>
          <w:b/>
        </w:rPr>
        <w:t>思想对标准体系明细表进行增补</w:t>
      </w:r>
    </w:p>
    <w:p w:rsidR="00C509CE" w:rsidRPr="00C509CE" w:rsidRDefault="005473E7" w:rsidP="00D56F41">
      <w:pPr>
        <w:snapToGrid w:val="0"/>
        <w:spacing w:line="500" w:lineRule="exact"/>
        <w:ind w:firstLineChars="200" w:firstLine="480"/>
        <w:rPr>
          <w:rFonts w:eastAsia="仿宋_GB2312"/>
        </w:rPr>
      </w:pPr>
      <w:r w:rsidRPr="00C53955">
        <w:rPr>
          <w:rFonts w:eastAsia="仿宋_GB2312" w:hint="eastAsia"/>
        </w:rPr>
        <w:t>按集团领导</w:t>
      </w:r>
      <w:r w:rsidR="0072013D" w:rsidRPr="00C53955">
        <w:rPr>
          <w:rFonts w:eastAsia="仿宋_GB2312" w:hint="eastAsia"/>
        </w:rPr>
        <w:t>管理全覆盖</w:t>
      </w:r>
      <w:r w:rsidR="0072013D">
        <w:rPr>
          <w:rFonts w:eastAsia="仿宋_GB2312" w:hint="eastAsia"/>
        </w:rPr>
        <w:t>的</w:t>
      </w:r>
      <w:r w:rsidRPr="00C53955">
        <w:rPr>
          <w:rFonts w:eastAsia="仿宋_GB2312" w:hint="eastAsia"/>
        </w:rPr>
        <w:t>要求</w:t>
      </w:r>
      <w:r>
        <w:rPr>
          <w:rFonts w:eastAsia="仿宋_GB2312" w:hint="eastAsia"/>
        </w:rPr>
        <w:t>，各单位、各部门继续</w:t>
      </w:r>
      <w:r w:rsidR="004A2AC8" w:rsidRPr="00C53955">
        <w:rPr>
          <w:rFonts w:eastAsia="仿宋_GB2312" w:hint="eastAsia"/>
        </w:rPr>
        <w:t>对</w:t>
      </w:r>
      <w:r w:rsidR="0072013D">
        <w:rPr>
          <w:rFonts w:eastAsia="仿宋_GB2312" w:hint="eastAsia"/>
        </w:rPr>
        <w:t>规章制度再梳理，对标准体系的覆盖性</w:t>
      </w:r>
      <w:r w:rsidR="004A2AC8">
        <w:rPr>
          <w:rFonts w:eastAsia="仿宋_GB2312" w:hint="eastAsia"/>
        </w:rPr>
        <w:t>全面</w:t>
      </w:r>
      <w:r w:rsidR="004A2AC8" w:rsidRPr="00C53955">
        <w:rPr>
          <w:rFonts w:eastAsia="仿宋_GB2312" w:hint="eastAsia"/>
        </w:rPr>
        <w:t>审视</w:t>
      </w:r>
      <w:r>
        <w:rPr>
          <w:rFonts w:eastAsia="仿宋_GB2312" w:hint="eastAsia"/>
        </w:rPr>
        <w:t>。</w:t>
      </w:r>
      <w:r w:rsidR="00A47C4E">
        <w:rPr>
          <w:rFonts w:eastAsia="仿宋_GB2312" w:hint="eastAsia"/>
        </w:rPr>
        <w:t>一方面，</w:t>
      </w:r>
      <w:r w:rsidR="00166BCB">
        <w:rPr>
          <w:rFonts w:eastAsia="仿宋_GB2312" w:hint="eastAsia"/>
        </w:rPr>
        <w:t>对未纳入标准体系的规章制度进行再梳理，尤其是涉及运营安全的重要规章制度应全部纳入</w:t>
      </w:r>
      <w:r w:rsidR="004A2AC8">
        <w:rPr>
          <w:rFonts w:eastAsia="仿宋_GB2312" w:hint="eastAsia"/>
        </w:rPr>
        <w:t>；</w:t>
      </w:r>
      <w:r w:rsidR="00A47C4E">
        <w:rPr>
          <w:rFonts w:eastAsia="仿宋_GB2312" w:hint="eastAsia"/>
        </w:rPr>
        <w:t>另一方面，</w:t>
      </w:r>
      <w:r w:rsidR="00AA3777" w:rsidRPr="00C53955">
        <w:rPr>
          <w:rFonts w:eastAsia="仿宋_GB2312" w:hint="eastAsia"/>
        </w:rPr>
        <w:t>部分单位提出了对</w:t>
      </w:r>
      <w:r w:rsidR="0072013D">
        <w:rPr>
          <w:rFonts w:eastAsia="仿宋_GB2312" w:hint="eastAsia"/>
        </w:rPr>
        <w:t>标准</w:t>
      </w:r>
      <w:r w:rsidR="00AA3777" w:rsidRPr="00C53955">
        <w:rPr>
          <w:rFonts w:eastAsia="仿宋_GB2312" w:hint="eastAsia"/>
        </w:rPr>
        <w:t>体系明细表</w:t>
      </w:r>
      <w:r w:rsidR="00A47C4E">
        <w:rPr>
          <w:rFonts w:eastAsia="仿宋_GB2312" w:hint="eastAsia"/>
        </w:rPr>
        <w:t>进行增补和调整的需求，标准化室拟组织再次</w:t>
      </w:r>
      <w:r w:rsidR="0032526A">
        <w:rPr>
          <w:rFonts w:eastAsia="仿宋_GB2312" w:hint="eastAsia"/>
        </w:rPr>
        <w:t>调整体系表</w:t>
      </w:r>
      <w:r w:rsidR="00A47C4E">
        <w:rPr>
          <w:rFonts w:eastAsia="仿宋_GB2312" w:hint="eastAsia"/>
        </w:rPr>
        <w:t>，</w:t>
      </w:r>
      <w:r w:rsidR="00AA3777" w:rsidRPr="00C53955">
        <w:rPr>
          <w:rFonts w:eastAsia="仿宋_GB2312" w:hint="eastAsia"/>
        </w:rPr>
        <w:t>增补</w:t>
      </w:r>
      <w:r w:rsidR="00AA3777" w:rsidRPr="00C53955">
        <w:rPr>
          <w:rFonts w:eastAsia="仿宋_GB2312" w:hint="eastAsia"/>
        </w:rPr>
        <w:lastRenderedPageBreak/>
        <w:t>或合并相关标准</w:t>
      </w:r>
      <w:r w:rsidR="00C53955" w:rsidRPr="00C53955">
        <w:rPr>
          <w:rFonts w:eastAsia="仿宋_GB2312" w:hint="eastAsia"/>
        </w:rPr>
        <w:t>，并</w:t>
      </w:r>
      <w:r w:rsidR="0032526A">
        <w:rPr>
          <w:rFonts w:eastAsia="仿宋_GB2312" w:hint="eastAsia"/>
        </w:rPr>
        <w:t>将新增标准纳入</w:t>
      </w:r>
      <w:r w:rsidR="00A47C4E">
        <w:rPr>
          <w:rFonts w:eastAsia="仿宋_GB2312" w:hint="eastAsia"/>
        </w:rPr>
        <w:t>编制工作</w:t>
      </w:r>
      <w:r w:rsidR="0032526A">
        <w:rPr>
          <w:rFonts w:eastAsia="仿宋_GB2312" w:hint="eastAsia"/>
        </w:rPr>
        <w:t>计划</w:t>
      </w:r>
      <w:r w:rsidR="00D56F41">
        <w:rPr>
          <w:rFonts w:eastAsia="仿宋_GB2312" w:hint="eastAsia"/>
        </w:rPr>
        <w:t>。</w:t>
      </w:r>
    </w:p>
    <w:p w:rsidR="00D768E9" w:rsidRPr="0090700E" w:rsidRDefault="00D768E9" w:rsidP="00770E61">
      <w:pPr>
        <w:numPr>
          <w:ilvl w:val="0"/>
          <w:numId w:val="2"/>
        </w:numPr>
        <w:snapToGrid w:val="0"/>
        <w:spacing w:beforeLines="100" w:line="500" w:lineRule="exact"/>
        <w:rPr>
          <w:rFonts w:eastAsia="仿宋_GB2312"/>
          <w:b/>
          <w:sz w:val="28"/>
          <w:szCs w:val="28"/>
        </w:rPr>
      </w:pPr>
      <w:r w:rsidRPr="0090700E">
        <w:rPr>
          <w:rFonts w:eastAsia="仿宋_GB2312" w:hint="eastAsia"/>
          <w:b/>
          <w:sz w:val="28"/>
          <w:szCs w:val="28"/>
        </w:rPr>
        <w:t>需跟踪协调问题</w:t>
      </w:r>
    </w:p>
    <w:p w:rsidR="00C107DF" w:rsidRPr="0090700E" w:rsidRDefault="0090700E" w:rsidP="00D768E9">
      <w:pPr>
        <w:spacing w:line="500" w:lineRule="exact"/>
        <w:ind w:firstLineChars="200" w:firstLine="480"/>
        <w:rPr>
          <w:rFonts w:eastAsia="仿宋_GB2312"/>
        </w:rPr>
      </w:pPr>
      <w:r w:rsidRPr="0090700E">
        <w:rPr>
          <w:rFonts w:eastAsia="仿宋_GB2312" w:hint="eastAsia"/>
        </w:rPr>
        <w:t>目前，标准化工作已启动标准的初审，即将进入标准体系试运行阶段</w:t>
      </w:r>
      <w:r w:rsidR="00D768E9" w:rsidRPr="0090700E">
        <w:rPr>
          <w:rFonts w:eastAsia="仿宋_GB2312" w:hint="eastAsia"/>
        </w:rPr>
        <w:t>。</w:t>
      </w:r>
      <w:r w:rsidRPr="0090700E">
        <w:rPr>
          <w:rFonts w:eastAsia="仿宋_GB2312" w:hint="eastAsia"/>
        </w:rPr>
        <w:t>但是，体系运行的诸多方面，如标准体系和规章制度体系的关系等，尚未深入人心，需继续加强宣传普及力度。</w:t>
      </w:r>
    </w:p>
    <w:p w:rsidR="00C107DF" w:rsidRPr="000F5EB6" w:rsidRDefault="00C107DF" w:rsidP="00D768E9">
      <w:pPr>
        <w:spacing w:line="500" w:lineRule="exact"/>
        <w:ind w:firstLineChars="200" w:firstLine="480"/>
        <w:rPr>
          <w:rFonts w:eastAsia="仿宋_GB2312"/>
          <w:color w:val="FF0000"/>
        </w:rPr>
      </w:pPr>
    </w:p>
    <w:p w:rsidR="00AF489F" w:rsidRDefault="00AF489F" w:rsidP="00D768E9">
      <w:pPr>
        <w:spacing w:line="500" w:lineRule="exact"/>
        <w:ind w:firstLineChars="200" w:firstLine="480"/>
        <w:rPr>
          <w:rFonts w:eastAsia="仿宋_GB2312"/>
        </w:rPr>
      </w:pPr>
      <w:r>
        <w:rPr>
          <w:rFonts w:eastAsia="仿宋_GB2312"/>
        </w:rPr>
        <w:br w:type="page"/>
      </w:r>
    </w:p>
    <w:p w:rsidR="00AF489F" w:rsidRDefault="00AF489F" w:rsidP="00AF489F">
      <w:pPr>
        <w:snapToGrid w:val="0"/>
        <w:spacing w:line="500" w:lineRule="exact"/>
        <w:ind w:firstLineChars="200" w:firstLine="480"/>
        <w:rPr>
          <w:rFonts w:eastAsia="仿宋_GB2312"/>
        </w:rPr>
        <w:sectPr w:rsidR="00AF489F" w:rsidSect="00907AD7">
          <w:pgSz w:w="11906" w:h="16838" w:code="9"/>
          <w:pgMar w:top="1440" w:right="1797" w:bottom="1440" w:left="1797" w:header="851" w:footer="992" w:gutter="0"/>
          <w:cols w:space="425"/>
          <w:docGrid w:linePitch="326"/>
        </w:sectPr>
      </w:pPr>
    </w:p>
    <w:p w:rsidR="009658CD" w:rsidRPr="009658CD" w:rsidRDefault="009658CD" w:rsidP="009658CD">
      <w:pPr>
        <w:spacing w:line="540" w:lineRule="exact"/>
        <w:jc w:val="left"/>
        <w:rPr>
          <w:b/>
          <w:sz w:val="30"/>
          <w:szCs w:val="30"/>
        </w:rPr>
      </w:pPr>
      <w:r w:rsidRPr="009658CD">
        <w:rPr>
          <w:rFonts w:hint="eastAsia"/>
          <w:b/>
          <w:sz w:val="30"/>
          <w:szCs w:val="30"/>
        </w:rPr>
        <w:lastRenderedPageBreak/>
        <w:t>附件一：</w:t>
      </w:r>
      <w:r w:rsidR="00BE3AEB" w:rsidRPr="009658CD">
        <w:rPr>
          <w:rFonts w:hint="eastAsia"/>
          <w:b/>
          <w:sz w:val="30"/>
          <w:szCs w:val="30"/>
        </w:rPr>
        <w:t xml:space="preserve"> </w:t>
      </w:r>
    </w:p>
    <w:p w:rsidR="00AF489F" w:rsidRDefault="009658CD" w:rsidP="009658CD">
      <w:pPr>
        <w:spacing w:line="540" w:lineRule="exact"/>
        <w:jc w:val="center"/>
        <w:rPr>
          <w:b/>
          <w:sz w:val="32"/>
          <w:szCs w:val="32"/>
        </w:rPr>
      </w:pPr>
      <w:r w:rsidRPr="003C3D66">
        <w:rPr>
          <w:rFonts w:hint="eastAsia"/>
          <w:b/>
          <w:sz w:val="30"/>
          <w:szCs w:val="30"/>
        </w:rPr>
        <w:t>标准编制工作进度统计表</w:t>
      </w:r>
      <w:r w:rsidRPr="003C3D66">
        <w:rPr>
          <w:rFonts w:hint="eastAsia"/>
          <w:b/>
          <w:sz w:val="30"/>
          <w:szCs w:val="30"/>
        </w:rPr>
        <w:t xml:space="preserve"> </w:t>
      </w:r>
      <w:r w:rsidRPr="003C3D66">
        <w:rPr>
          <w:rFonts w:hint="eastAsia"/>
          <w:b/>
          <w:sz w:val="30"/>
          <w:szCs w:val="30"/>
        </w:rPr>
        <w:t>（截止</w:t>
      </w:r>
      <w:r w:rsidRPr="003C3D66">
        <w:rPr>
          <w:rFonts w:hint="eastAsia"/>
          <w:b/>
          <w:sz w:val="30"/>
          <w:szCs w:val="30"/>
        </w:rPr>
        <w:t>2013</w:t>
      </w:r>
      <w:r w:rsidRPr="003C3D66">
        <w:rPr>
          <w:rFonts w:hint="eastAsia"/>
          <w:b/>
          <w:sz w:val="30"/>
          <w:szCs w:val="30"/>
        </w:rPr>
        <w:t>年</w:t>
      </w:r>
      <w:r w:rsidR="001F421B">
        <w:rPr>
          <w:rFonts w:hint="eastAsia"/>
          <w:b/>
          <w:sz w:val="30"/>
          <w:szCs w:val="30"/>
        </w:rPr>
        <w:t>5</w:t>
      </w:r>
      <w:r w:rsidRPr="003C3D66">
        <w:rPr>
          <w:rFonts w:hint="eastAsia"/>
          <w:b/>
          <w:sz w:val="30"/>
          <w:szCs w:val="30"/>
        </w:rPr>
        <w:t>月底</w:t>
      </w:r>
      <w:r>
        <w:rPr>
          <w:rFonts w:hint="eastAsia"/>
          <w:b/>
          <w:sz w:val="30"/>
          <w:szCs w:val="30"/>
        </w:rPr>
        <w:t>）</w:t>
      </w:r>
    </w:p>
    <w:tbl>
      <w:tblPr>
        <w:tblW w:w="15012" w:type="dxa"/>
        <w:tblInd w:w="-17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025"/>
        <w:gridCol w:w="751"/>
        <w:gridCol w:w="978"/>
        <w:gridCol w:w="1532"/>
        <w:gridCol w:w="1131"/>
        <w:gridCol w:w="809"/>
        <w:gridCol w:w="1204"/>
        <w:gridCol w:w="1190"/>
        <w:gridCol w:w="889"/>
        <w:gridCol w:w="1120"/>
        <w:gridCol w:w="1110"/>
        <w:gridCol w:w="1108"/>
        <w:gridCol w:w="1165"/>
      </w:tblGrid>
      <w:tr w:rsidR="00AF489F" w:rsidRPr="00982973" w:rsidTr="00494B34">
        <w:trPr>
          <w:trHeight w:val="495"/>
        </w:trPr>
        <w:tc>
          <w:tcPr>
            <w:tcW w:w="2025" w:type="dxa"/>
            <w:vMerge w:val="restart"/>
            <w:shd w:val="clear" w:color="auto" w:fill="auto"/>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r w:rsidRPr="00982973">
              <w:rPr>
                <w:rFonts w:ascii="黑体" w:eastAsia="黑体" w:hAnsi="Arial Unicode MS" w:cs="Arial Unicode MS" w:hint="eastAsia"/>
                <w:color w:val="000000"/>
                <w:kern w:val="0"/>
              </w:rPr>
              <w:t>部门/单位</w:t>
            </w:r>
          </w:p>
        </w:tc>
        <w:tc>
          <w:tcPr>
            <w:tcW w:w="12987" w:type="dxa"/>
            <w:gridSpan w:val="12"/>
            <w:shd w:val="clear" w:color="auto" w:fill="auto"/>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r w:rsidRPr="00982973">
              <w:rPr>
                <w:rFonts w:ascii="黑体" w:eastAsia="黑体" w:hAnsi="Arial Unicode MS" w:cs="Arial Unicode MS" w:hint="eastAsia"/>
                <w:color w:val="000000"/>
                <w:kern w:val="0"/>
              </w:rPr>
              <w:t>标准编制情况</w:t>
            </w:r>
          </w:p>
        </w:tc>
      </w:tr>
      <w:tr w:rsidR="00AF489F" w:rsidRPr="00982973" w:rsidTr="00494B34">
        <w:trPr>
          <w:trHeight w:val="495"/>
        </w:trPr>
        <w:tc>
          <w:tcPr>
            <w:tcW w:w="2025" w:type="dxa"/>
            <w:vMerge/>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p>
        </w:tc>
        <w:tc>
          <w:tcPr>
            <w:tcW w:w="3261" w:type="dxa"/>
            <w:gridSpan w:val="3"/>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总数</w:t>
            </w:r>
          </w:p>
        </w:tc>
        <w:tc>
          <w:tcPr>
            <w:tcW w:w="3144" w:type="dxa"/>
            <w:gridSpan w:val="3"/>
            <w:shd w:val="clear" w:color="auto" w:fill="auto"/>
            <w:vAlign w:val="center"/>
            <w:hideMark/>
          </w:tcPr>
          <w:p w:rsidR="00AF489F" w:rsidRPr="00982973" w:rsidRDefault="004E55D0" w:rsidP="00935E32">
            <w:pPr>
              <w:widowControl/>
              <w:spacing w:line="240" w:lineRule="exact"/>
              <w:jc w:val="center"/>
              <w:rPr>
                <w:rFonts w:ascii="黑体" w:eastAsia="黑体" w:hAnsiTheme="majorEastAsia" w:cs="Arial Unicode MS"/>
                <w:color w:val="000000"/>
                <w:kern w:val="0"/>
                <w:sz w:val="22"/>
                <w:szCs w:val="22"/>
              </w:rPr>
            </w:pPr>
            <w:r>
              <w:rPr>
                <w:rFonts w:ascii="黑体" w:eastAsia="黑体" w:hAnsiTheme="majorEastAsia" w:cs="Arial Unicode MS" w:hint="eastAsia"/>
                <w:color w:val="000000"/>
                <w:kern w:val="0"/>
                <w:sz w:val="22"/>
                <w:szCs w:val="22"/>
              </w:rPr>
              <w:t>管理</w:t>
            </w:r>
          </w:p>
        </w:tc>
        <w:tc>
          <w:tcPr>
            <w:tcW w:w="3199" w:type="dxa"/>
            <w:gridSpan w:val="3"/>
            <w:shd w:val="clear" w:color="auto" w:fill="auto"/>
            <w:vAlign w:val="center"/>
            <w:hideMark/>
          </w:tcPr>
          <w:p w:rsidR="00AF489F" w:rsidRPr="00982973" w:rsidRDefault="004E55D0" w:rsidP="00935E32">
            <w:pPr>
              <w:widowControl/>
              <w:spacing w:line="240" w:lineRule="exact"/>
              <w:jc w:val="center"/>
              <w:rPr>
                <w:rFonts w:ascii="黑体" w:eastAsia="黑体" w:hAnsiTheme="majorEastAsia" w:cs="Arial Unicode MS"/>
                <w:color w:val="000000"/>
                <w:kern w:val="0"/>
                <w:sz w:val="22"/>
                <w:szCs w:val="22"/>
              </w:rPr>
            </w:pPr>
            <w:r>
              <w:rPr>
                <w:rFonts w:ascii="黑体" w:eastAsia="黑体" w:hAnsiTheme="majorEastAsia" w:cs="Arial Unicode MS" w:hint="eastAsia"/>
                <w:color w:val="000000"/>
                <w:kern w:val="0"/>
                <w:sz w:val="22"/>
                <w:szCs w:val="22"/>
              </w:rPr>
              <w:t>技术</w:t>
            </w:r>
          </w:p>
        </w:tc>
        <w:tc>
          <w:tcPr>
            <w:tcW w:w="3383" w:type="dxa"/>
            <w:gridSpan w:val="3"/>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工作</w:t>
            </w:r>
          </w:p>
        </w:tc>
      </w:tr>
      <w:tr w:rsidR="00AF489F" w:rsidRPr="00982973" w:rsidTr="00494B34">
        <w:trPr>
          <w:trHeight w:val="405"/>
        </w:trPr>
        <w:tc>
          <w:tcPr>
            <w:tcW w:w="2025" w:type="dxa"/>
            <w:vMerge/>
            <w:vAlign w:val="center"/>
            <w:hideMark/>
          </w:tcPr>
          <w:p w:rsidR="00AF489F" w:rsidRPr="00982973" w:rsidRDefault="00AF489F" w:rsidP="00935E32">
            <w:pPr>
              <w:widowControl/>
              <w:spacing w:line="240" w:lineRule="exact"/>
              <w:jc w:val="center"/>
              <w:rPr>
                <w:rFonts w:ascii="黑体" w:eastAsia="黑体" w:hAnsi="Arial Unicode MS" w:cs="Arial Unicode MS"/>
                <w:color w:val="000000"/>
                <w:kern w:val="0"/>
              </w:rPr>
            </w:pPr>
          </w:p>
        </w:tc>
        <w:tc>
          <w:tcPr>
            <w:tcW w:w="751"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978"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532"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c>
          <w:tcPr>
            <w:tcW w:w="1131"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809"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204"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c>
          <w:tcPr>
            <w:tcW w:w="1190"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889"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120"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c>
          <w:tcPr>
            <w:tcW w:w="1110" w:type="dxa"/>
            <w:shd w:val="clear" w:color="auto" w:fill="auto"/>
            <w:noWrap/>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计划</w:t>
            </w:r>
          </w:p>
        </w:tc>
        <w:tc>
          <w:tcPr>
            <w:tcW w:w="1108"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w:t>
            </w:r>
          </w:p>
        </w:tc>
        <w:tc>
          <w:tcPr>
            <w:tcW w:w="1165" w:type="dxa"/>
            <w:shd w:val="clear" w:color="auto" w:fill="auto"/>
            <w:vAlign w:val="center"/>
            <w:hideMark/>
          </w:tcPr>
          <w:p w:rsidR="00AF489F" w:rsidRPr="00982973" w:rsidRDefault="00AF489F" w:rsidP="00935E32">
            <w:pPr>
              <w:widowControl/>
              <w:spacing w:line="240" w:lineRule="exact"/>
              <w:jc w:val="center"/>
              <w:rPr>
                <w:rFonts w:ascii="黑体" w:eastAsia="黑体" w:hAnsiTheme="majorEastAsia" w:cs="Arial Unicode MS"/>
                <w:color w:val="000000"/>
                <w:kern w:val="0"/>
                <w:sz w:val="22"/>
                <w:szCs w:val="22"/>
              </w:rPr>
            </w:pPr>
            <w:r w:rsidRPr="00982973">
              <w:rPr>
                <w:rFonts w:ascii="黑体" w:eastAsia="黑体" w:hAnsiTheme="majorEastAsia" w:cs="Arial Unicode MS" w:hint="eastAsia"/>
                <w:color w:val="000000"/>
                <w:kern w:val="0"/>
                <w:sz w:val="22"/>
                <w:szCs w:val="22"/>
              </w:rPr>
              <w:t>完成比例</w:t>
            </w:r>
          </w:p>
        </w:tc>
      </w:tr>
      <w:tr w:rsidR="00D56F41" w:rsidRPr="00982973" w:rsidTr="00494B34">
        <w:trPr>
          <w:trHeight w:val="360"/>
        </w:trPr>
        <w:tc>
          <w:tcPr>
            <w:tcW w:w="2025" w:type="dxa"/>
            <w:shd w:val="clear" w:color="auto" w:fill="auto"/>
            <w:noWrap/>
            <w:vAlign w:val="center"/>
            <w:hideMark/>
          </w:tcPr>
          <w:p w:rsidR="00D56F41" w:rsidRDefault="00D56F41" w:rsidP="00AB605D">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运管中心</w:t>
            </w:r>
          </w:p>
          <w:p w:rsidR="00D56F41" w:rsidRPr="00982973" w:rsidRDefault="00D56F41" w:rsidP="00AB605D">
            <w:pPr>
              <w:widowControl/>
              <w:spacing w:line="240" w:lineRule="exact"/>
              <w:jc w:val="center"/>
              <w:rPr>
                <w:rFonts w:ascii="黑体" w:eastAsia="黑体" w:hAnsi="Arial Unicode MS" w:cs="Arial Unicode MS"/>
                <w:color w:val="000000"/>
                <w:kern w:val="0"/>
                <w:sz w:val="22"/>
              </w:rPr>
            </w:pPr>
            <w:r>
              <w:rPr>
                <w:rFonts w:ascii="黑体" w:eastAsia="黑体" w:hAnsi="Arial Unicode MS" w:cs="Arial Unicode MS" w:hint="eastAsia"/>
                <w:color w:val="000000"/>
                <w:kern w:val="0"/>
                <w:sz w:val="22"/>
              </w:rPr>
              <w:t>运营管理部</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172</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172</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47</w:t>
            </w:r>
          </w:p>
        </w:tc>
        <w:tc>
          <w:tcPr>
            <w:tcW w:w="809" w:type="dxa"/>
            <w:shd w:val="clear" w:color="auto" w:fill="auto"/>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47</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11</w:t>
            </w:r>
          </w:p>
        </w:tc>
        <w:tc>
          <w:tcPr>
            <w:tcW w:w="889" w:type="dxa"/>
            <w:shd w:val="clear" w:color="auto" w:fill="auto"/>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11</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114</w:t>
            </w:r>
          </w:p>
        </w:tc>
        <w:tc>
          <w:tcPr>
            <w:tcW w:w="1108" w:type="dxa"/>
            <w:shd w:val="clear" w:color="auto" w:fill="auto"/>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114</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360"/>
        </w:trPr>
        <w:tc>
          <w:tcPr>
            <w:tcW w:w="2025" w:type="dxa"/>
            <w:shd w:val="clear" w:color="auto" w:fill="auto"/>
            <w:noWrap/>
            <w:vAlign w:val="center"/>
            <w:hideMark/>
          </w:tcPr>
          <w:p w:rsidR="00D56F41" w:rsidRPr="00982973" w:rsidRDefault="00D56F41"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运营一公司</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31</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83.87%</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13</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13</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17</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12</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70.59%</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360"/>
        </w:trPr>
        <w:tc>
          <w:tcPr>
            <w:tcW w:w="2025" w:type="dxa"/>
            <w:shd w:val="clear" w:color="auto" w:fill="auto"/>
            <w:noWrap/>
            <w:vAlign w:val="center"/>
            <w:hideMark/>
          </w:tcPr>
          <w:p w:rsidR="00D56F41" w:rsidRPr="00982973" w:rsidRDefault="00D56F41"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运营二公司</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29</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29</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0</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r>
      <w:tr w:rsidR="00D56F41" w:rsidRPr="00982973" w:rsidTr="00494B34">
        <w:trPr>
          <w:trHeight w:val="360"/>
        </w:trPr>
        <w:tc>
          <w:tcPr>
            <w:tcW w:w="2025" w:type="dxa"/>
            <w:shd w:val="clear" w:color="auto" w:fill="auto"/>
            <w:noWrap/>
            <w:vAlign w:val="center"/>
            <w:hideMark/>
          </w:tcPr>
          <w:p w:rsidR="00D56F41" w:rsidRPr="00982973" w:rsidRDefault="00D56F41"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运营三公司</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20</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20</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0</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r>
      <w:tr w:rsidR="00D56F41" w:rsidRPr="00982973" w:rsidTr="00494B34">
        <w:trPr>
          <w:trHeight w:val="360"/>
        </w:trPr>
        <w:tc>
          <w:tcPr>
            <w:tcW w:w="2025" w:type="dxa"/>
            <w:shd w:val="clear" w:color="auto" w:fill="auto"/>
            <w:noWrap/>
            <w:vAlign w:val="center"/>
            <w:hideMark/>
          </w:tcPr>
          <w:p w:rsidR="00D56F41" w:rsidRPr="00982973" w:rsidRDefault="00D56F41" w:rsidP="00935E32">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运营四公司</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29</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29</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23</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23</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0</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r>
      <w:tr w:rsidR="00D56F41" w:rsidRPr="00982973" w:rsidTr="00494B34">
        <w:trPr>
          <w:trHeight w:val="360"/>
        </w:trPr>
        <w:tc>
          <w:tcPr>
            <w:tcW w:w="2025" w:type="dxa"/>
            <w:shd w:val="clear" w:color="auto" w:fill="auto"/>
            <w:noWrap/>
            <w:vAlign w:val="center"/>
            <w:hideMark/>
          </w:tcPr>
          <w:p w:rsidR="00D56F41" w:rsidRDefault="00D56F41" w:rsidP="00AB605D">
            <w:pPr>
              <w:widowControl/>
              <w:spacing w:line="240" w:lineRule="exact"/>
              <w:jc w:val="center"/>
              <w:rPr>
                <w:rFonts w:ascii="黑体" w:eastAsia="黑体" w:hAnsi="Arial Unicode MS" w:cs="Arial Unicode MS"/>
                <w:color w:val="000000"/>
                <w:kern w:val="0"/>
                <w:sz w:val="22"/>
              </w:rPr>
            </w:pPr>
            <w:r w:rsidRPr="00982973">
              <w:rPr>
                <w:rFonts w:ascii="黑体" w:eastAsia="黑体" w:hAnsi="Arial Unicode MS" w:cs="Arial Unicode MS" w:hint="eastAsia"/>
                <w:color w:val="000000"/>
                <w:kern w:val="0"/>
                <w:sz w:val="22"/>
              </w:rPr>
              <w:t>维保中心</w:t>
            </w:r>
          </w:p>
          <w:p w:rsidR="00D56F41" w:rsidRPr="00982973" w:rsidRDefault="00D56F41" w:rsidP="00AB605D">
            <w:pPr>
              <w:widowControl/>
              <w:spacing w:line="240" w:lineRule="exact"/>
              <w:jc w:val="center"/>
              <w:rPr>
                <w:rFonts w:ascii="黑体" w:eastAsia="黑体" w:hAnsi="Arial Unicode MS" w:cs="Arial Unicode MS"/>
                <w:color w:val="000000"/>
                <w:kern w:val="0"/>
                <w:sz w:val="22"/>
              </w:rPr>
            </w:pPr>
            <w:r>
              <w:rPr>
                <w:rFonts w:ascii="黑体" w:eastAsia="黑体" w:hAnsi="Arial Unicode MS" w:cs="Arial Unicode MS" w:hint="eastAsia"/>
                <w:color w:val="000000"/>
                <w:kern w:val="0"/>
                <w:sz w:val="22"/>
              </w:rPr>
              <w:t>设施设备部</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92</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92</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23</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23</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0</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69</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69</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360"/>
        </w:trPr>
        <w:tc>
          <w:tcPr>
            <w:tcW w:w="2025" w:type="dxa"/>
            <w:shd w:val="clear" w:color="auto" w:fill="auto"/>
            <w:noWrap/>
            <w:vAlign w:val="center"/>
            <w:hideMark/>
          </w:tcPr>
          <w:p w:rsidR="00D56F41" w:rsidRPr="00D56F41" w:rsidRDefault="00D56F41" w:rsidP="00C72F79">
            <w:pPr>
              <w:widowControl/>
              <w:spacing w:line="240" w:lineRule="exact"/>
              <w:jc w:val="center"/>
              <w:rPr>
                <w:rFonts w:ascii="黑体" w:eastAsia="黑体" w:hAnsi="Arial Unicode MS" w:cs="Arial Unicode MS"/>
                <w:kern w:val="0"/>
                <w:sz w:val="22"/>
              </w:rPr>
            </w:pPr>
            <w:r w:rsidRPr="00D56F41">
              <w:rPr>
                <w:rFonts w:ascii="黑体" w:eastAsia="黑体" w:hAnsi="Arial Unicode MS" w:cs="Arial Unicode MS" w:hint="eastAsia"/>
                <w:kern w:val="0"/>
                <w:sz w:val="22"/>
              </w:rPr>
              <w:t>维保供电</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261</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261</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105</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105</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68</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68</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88</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88</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360"/>
        </w:trPr>
        <w:tc>
          <w:tcPr>
            <w:tcW w:w="2025" w:type="dxa"/>
            <w:shd w:val="clear" w:color="auto" w:fill="auto"/>
            <w:noWrap/>
            <w:vAlign w:val="center"/>
            <w:hideMark/>
          </w:tcPr>
          <w:p w:rsidR="00D56F41" w:rsidRPr="00D56F41" w:rsidRDefault="00D56F41" w:rsidP="00C72F79">
            <w:pPr>
              <w:widowControl/>
              <w:spacing w:line="240" w:lineRule="exact"/>
              <w:jc w:val="center"/>
              <w:rPr>
                <w:rFonts w:ascii="黑体" w:eastAsia="黑体" w:hAnsi="Arial Unicode MS" w:cs="Arial Unicode MS"/>
                <w:kern w:val="0"/>
                <w:sz w:val="22"/>
              </w:rPr>
            </w:pPr>
            <w:r w:rsidRPr="00D56F41">
              <w:rPr>
                <w:rFonts w:ascii="黑体" w:eastAsia="黑体" w:hAnsi="Arial Unicode MS" w:cs="Arial Unicode MS" w:hint="eastAsia"/>
                <w:kern w:val="0"/>
                <w:sz w:val="22"/>
              </w:rPr>
              <w:t>维保车辆</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315</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315</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53</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53</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56</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56</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206</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206</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360"/>
        </w:trPr>
        <w:tc>
          <w:tcPr>
            <w:tcW w:w="2025" w:type="dxa"/>
            <w:shd w:val="clear" w:color="auto" w:fill="auto"/>
            <w:noWrap/>
            <w:vAlign w:val="center"/>
            <w:hideMark/>
          </w:tcPr>
          <w:p w:rsidR="00D56F41" w:rsidRPr="00D56F41" w:rsidRDefault="00D56F41" w:rsidP="00C72F79">
            <w:pPr>
              <w:widowControl/>
              <w:spacing w:line="240" w:lineRule="exact"/>
              <w:jc w:val="center"/>
              <w:rPr>
                <w:rFonts w:ascii="黑体" w:eastAsia="黑体" w:hAnsi="Arial Unicode MS" w:cs="Arial Unicode MS"/>
                <w:kern w:val="0"/>
                <w:sz w:val="22"/>
              </w:rPr>
            </w:pPr>
            <w:r w:rsidRPr="00D56F41">
              <w:rPr>
                <w:rFonts w:ascii="黑体" w:eastAsia="黑体" w:hAnsi="Arial Unicode MS" w:cs="Arial Unicode MS" w:hint="eastAsia"/>
                <w:kern w:val="0"/>
                <w:sz w:val="22"/>
              </w:rPr>
              <w:t>维保工务</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361</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360</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99.72%</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105</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104</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99.05%</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123</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123</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133</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133</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360"/>
        </w:trPr>
        <w:tc>
          <w:tcPr>
            <w:tcW w:w="2025" w:type="dxa"/>
            <w:shd w:val="clear" w:color="auto" w:fill="auto"/>
            <w:noWrap/>
            <w:vAlign w:val="center"/>
            <w:hideMark/>
          </w:tcPr>
          <w:p w:rsidR="00D56F41" w:rsidRPr="00D56F41" w:rsidRDefault="00D56F41" w:rsidP="00C72F79">
            <w:pPr>
              <w:widowControl/>
              <w:spacing w:line="240" w:lineRule="exact"/>
              <w:jc w:val="center"/>
              <w:rPr>
                <w:rFonts w:ascii="黑体" w:eastAsia="黑体" w:hAnsi="Arial Unicode MS" w:cs="Arial Unicode MS"/>
                <w:kern w:val="0"/>
                <w:sz w:val="22"/>
              </w:rPr>
            </w:pPr>
            <w:r w:rsidRPr="00D56F41">
              <w:rPr>
                <w:rFonts w:ascii="黑体" w:eastAsia="黑体" w:hAnsi="Arial Unicode MS" w:cs="Arial Unicode MS" w:hint="eastAsia"/>
                <w:kern w:val="0"/>
                <w:sz w:val="22"/>
              </w:rPr>
              <w:t>维保通号</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265</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265</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100.00%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50</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50</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58</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58</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157</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157</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360"/>
        </w:trPr>
        <w:tc>
          <w:tcPr>
            <w:tcW w:w="2025" w:type="dxa"/>
            <w:shd w:val="clear" w:color="auto" w:fill="auto"/>
            <w:noWrap/>
            <w:vAlign w:val="center"/>
            <w:hideMark/>
          </w:tcPr>
          <w:p w:rsidR="00D56F41" w:rsidRPr="00C72F79" w:rsidRDefault="00D56F41" w:rsidP="00C72F79">
            <w:pPr>
              <w:widowControl/>
              <w:spacing w:line="240" w:lineRule="exact"/>
              <w:jc w:val="center"/>
              <w:rPr>
                <w:rFonts w:ascii="黑体" w:eastAsia="黑体" w:hAnsi="Arial Unicode MS" w:cs="Arial Unicode MS"/>
                <w:color w:val="000000"/>
                <w:kern w:val="0"/>
                <w:sz w:val="22"/>
              </w:rPr>
            </w:pPr>
            <w:r w:rsidRPr="00C72F79">
              <w:rPr>
                <w:rFonts w:ascii="黑体" w:eastAsia="黑体" w:hAnsi="Arial Unicode MS" w:cs="Arial Unicode MS" w:hint="eastAsia"/>
                <w:color w:val="000000"/>
                <w:kern w:val="0"/>
                <w:sz w:val="22"/>
              </w:rPr>
              <w:t>维保物资</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204</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201</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color w:val="000000"/>
                <w:sz w:val="22"/>
                <w:szCs w:val="22"/>
              </w:rPr>
              <w:t>98.53%</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37</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34</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91.89%</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11</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11</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156</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156</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rPr>
              <w:t>100.00%</w:t>
            </w:r>
          </w:p>
        </w:tc>
      </w:tr>
      <w:tr w:rsidR="00D56F41" w:rsidRPr="00982973" w:rsidTr="00494B34">
        <w:trPr>
          <w:trHeight w:val="450"/>
        </w:trPr>
        <w:tc>
          <w:tcPr>
            <w:tcW w:w="2025" w:type="dxa"/>
            <w:shd w:val="clear" w:color="auto" w:fill="auto"/>
            <w:noWrap/>
            <w:vAlign w:val="center"/>
            <w:hideMark/>
          </w:tcPr>
          <w:p w:rsidR="00D56F41" w:rsidRPr="00494B34" w:rsidRDefault="00D56F41" w:rsidP="00935E32">
            <w:pPr>
              <w:widowControl/>
              <w:spacing w:line="240" w:lineRule="exact"/>
              <w:jc w:val="center"/>
              <w:rPr>
                <w:rFonts w:ascii="黑体" w:eastAsia="黑体" w:hAnsi="Arial Unicode MS" w:cs="Arial Unicode MS"/>
                <w:b/>
                <w:color w:val="000000"/>
                <w:kern w:val="0"/>
              </w:rPr>
            </w:pPr>
            <w:r w:rsidRPr="00494B34">
              <w:rPr>
                <w:rFonts w:ascii="黑体" w:eastAsia="黑体" w:hAnsi="Arial Unicode MS" w:cs="Arial Unicode MS" w:hint="eastAsia"/>
                <w:b/>
                <w:color w:val="000000"/>
                <w:kern w:val="0"/>
              </w:rPr>
              <w:t>合计</w:t>
            </w:r>
          </w:p>
        </w:tc>
        <w:tc>
          <w:tcPr>
            <w:tcW w:w="751"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1785</w:t>
            </w:r>
          </w:p>
        </w:tc>
        <w:tc>
          <w:tcPr>
            <w:tcW w:w="978"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1776</w:t>
            </w:r>
          </w:p>
        </w:tc>
        <w:tc>
          <w:tcPr>
            <w:tcW w:w="1532"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99.50%</w:t>
            </w:r>
          </w:p>
        </w:tc>
        <w:tc>
          <w:tcPr>
            <w:tcW w:w="1131"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502</w:t>
            </w:r>
          </w:p>
        </w:tc>
        <w:tc>
          <w:tcPr>
            <w:tcW w:w="809"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498</w:t>
            </w:r>
          </w:p>
        </w:tc>
        <w:tc>
          <w:tcPr>
            <w:tcW w:w="1204"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99.20%</w:t>
            </w:r>
          </w:p>
        </w:tc>
        <w:tc>
          <w:tcPr>
            <w:tcW w:w="1190"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359</w:t>
            </w:r>
          </w:p>
        </w:tc>
        <w:tc>
          <w:tcPr>
            <w:tcW w:w="889"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354</w:t>
            </w:r>
          </w:p>
        </w:tc>
        <w:tc>
          <w:tcPr>
            <w:tcW w:w="1120"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98.61%</w:t>
            </w:r>
          </w:p>
        </w:tc>
        <w:tc>
          <w:tcPr>
            <w:tcW w:w="1110"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924</w:t>
            </w:r>
          </w:p>
        </w:tc>
        <w:tc>
          <w:tcPr>
            <w:tcW w:w="1108"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924</w:t>
            </w:r>
          </w:p>
        </w:tc>
        <w:tc>
          <w:tcPr>
            <w:tcW w:w="1165" w:type="dxa"/>
            <w:shd w:val="clear" w:color="auto" w:fill="auto"/>
            <w:noWrap/>
            <w:vAlign w:val="center"/>
            <w:hideMark/>
          </w:tcPr>
          <w:p w:rsidR="00D56F41" w:rsidRDefault="00D56F41">
            <w:pPr>
              <w:jc w:val="center"/>
              <w:rPr>
                <w:rFonts w:ascii="Arial Unicode MS" w:eastAsia="Arial Unicode MS" w:hAnsi="Arial Unicode MS" w:cs="Arial Unicode MS"/>
                <w:b/>
                <w:bCs/>
                <w:color w:val="000000"/>
              </w:rPr>
            </w:pPr>
            <w:r>
              <w:rPr>
                <w:rFonts w:ascii="Arial Unicode MS" w:eastAsia="Arial Unicode MS" w:hAnsi="Arial Unicode MS" w:cs="Arial Unicode MS" w:hint="eastAsia"/>
                <w:b/>
                <w:bCs/>
                <w:color w:val="000000"/>
              </w:rPr>
              <w:t>100.00%</w:t>
            </w:r>
          </w:p>
        </w:tc>
      </w:tr>
    </w:tbl>
    <w:p w:rsidR="00F26A86" w:rsidRDefault="00F26A86" w:rsidP="00AF489F">
      <w:pPr>
        <w:spacing w:line="500" w:lineRule="exact"/>
        <w:rPr>
          <w:rFonts w:eastAsia="仿宋_GB2312"/>
        </w:rPr>
      </w:pPr>
    </w:p>
    <w:p w:rsidR="00F26A86" w:rsidRDefault="00F26A86" w:rsidP="00176DC5">
      <w:pPr>
        <w:widowControl/>
        <w:jc w:val="left"/>
        <w:rPr>
          <w:rFonts w:eastAsia="仿宋_GB2312"/>
        </w:rPr>
        <w:sectPr w:rsidR="00F26A86" w:rsidSect="009A232E">
          <w:pgSz w:w="16838" w:h="11906" w:orient="landscape" w:code="9"/>
          <w:pgMar w:top="1797" w:right="1440" w:bottom="1797" w:left="1440" w:header="851" w:footer="992" w:gutter="0"/>
          <w:cols w:space="425"/>
          <w:docGrid w:linePitch="326"/>
        </w:sectPr>
      </w:pPr>
    </w:p>
    <w:p w:rsidR="00F26A86" w:rsidRPr="00F26A86" w:rsidRDefault="00F26A86" w:rsidP="00F26A86">
      <w:pPr>
        <w:spacing w:line="540" w:lineRule="exact"/>
        <w:jc w:val="left"/>
        <w:rPr>
          <w:b/>
          <w:sz w:val="30"/>
          <w:szCs w:val="30"/>
        </w:rPr>
      </w:pPr>
      <w:r w:rsidRPr="009658CD">
        <w:rPr>
          <w:rFonts w:hint="eastAsia"/>
          <w:b/>
          <w:sz w:val="30"/>
          <w:szCs w:val="30"/>
        </w:rPr>
        <w:lastRenderedPageBreak/>
        <w:t>附件</w:t>
      </w:r>
      <w:r>
        <w:rPr>
          <w:rFonts w:hint="eastAsia"/>
          <w:b/>
          <w:sz w:val="30"/>
          <w:szCs w:val="30"/>
        </w:rPr>
        <w:t>二</w:t>
      </w:r>
      <w:r w:rsidRPr="009658CD">
        <w:rPr>
          <w:rFonts w:hint="eastAsia"/>
          <w:b/>
          <w:sz w:val="30"/>
          <w:szCs w:val="30"/>
        </w:rPr>
        <w:t>：</w:t>
      </w:r>
      <w:r w:rsidRPr="00F26A86">
        <w:rPr>
          <w:rFonts w:hint="eastAsia"/>
          <w:b/>
          <w:sz w:val="30"/>
          <w:szCs w:val="30"/>
        </w:rPr>
        <w:t>集团企业标准的审查要求</w:t>
      </w:r>
    </w:p>
    <w:p w:rsidR="00F26A86" w:rsidRPr="00F26A86" w:rsidRDefault="00F26A86" w:rsidP="00F26A86">
      <w:pPr>
        <w:spacing w:line="500" w:lineRule="exact"/>
        <w:ind w:firstLineChars="236" w:firstLine="566"/>
        <w:rPr>
          <w:rFonts w:eastAsia="仿宋_GB2312"/>
        </w:rPr>
      </w:pPr>
      <w:r w:rsidRPr="00F26A86">
        <w:rPr>
          <w:rFonts w:eastAsia="仿宋_GB2312" w:hint="eastAsia"/>
        </w:rPr>
        <w:t>根据集团标准化工作的整体布置，</w:t>
      </w:r>
      <w:r w:rsidRPr="00F26A86">
        <w:rPr>
          <w:rFonts w:eastAsia="仿宋_GB2312" w:hint="eastAsia"/>
        </w:rPr>
        <w:t>6</w:t>
      </w:r>
      <w:r w:rsidRPr="00F26A86">
        <w:rPr>
          <w:rFonts w:eastAsia="仿宋_GB2312" w:hint="eastAsia"/>
        </w:rPr>
        <w:t>月份将进入集团企业标准的集中审查阶段。面对集团企业标准数量多的现实，为保证标准审查的进度和质量，现提出要求如下：</w:t>
      </w:r>
    </w:p>
    <w:p w:rsidR="00F26A86" w:rsidRPr="00F26A86" w:rsidRDefault="00F26A86" w:rsidP="00F26A86">
      <w:pPr>
        <w:spacing w:line="500" w:lineRule="exact"/>
        <w:ind w:leftChars="59" w:left="423" w:hangingChars="117" w:hanging="281"/>
        <w:rPr>
          <w:rFonts w:eastAsia="仿宋_GB2312"/>
        </w:rPr>
      </w:pPr>
      <w:r w:rsidRPr="00F26A86">
        <w:rPr>
          <w:rFonts w:eastAsia="仿宋_GB2312" w:hint="eastAsia"/>
        </w:rPr>
        <w:t>1</w:t>
      </w:r>
      <w:r w:rsidRPr="00F26A86">
        <w:rPr>
          <w:rFonts w:eastAsia="仿宋_GB2312" w:hint="eastAsia"/>
        </w:rPr>
        <w:t>）集团企业标准实行“两级审查”，由各部门、各直属单位完成本部门本单位的企业标准自查；标准化室完成企业标准的审查。</w:t>
      </w:r>
    </w:p>
    <w:p w:rsidR="00F26A86" w:rsidRPr="00F26A86" w:rsidRDefault="00F26A86" w:rsidP="00F26A86">
      <w:pPr>
        <w:spacing w:line="500" w:lineRule="exact"/>
        <w:ind w:leftChars="59" w:left="423" w:hangingChars="117" w:hanging="281"/>
        <w:rPr>
          <w:rFonts w:eastAsia="仿宋_GB2312"/>
        </w:rPr>
      </w:pPr>
      <w:r w:rsidRPr="00F26A86">
        <w:rPr>
          <w:rFonts w:eastAsia="仿宋_GB2312" w:hint="eastAsia"/>
        </w:rPr>
        <w:t>2</w:t>
      </w:r>
      <w:r w:rsidRPr="00F26A86">
        <w:rPr>
          <w:rFonts w:eastAsia="仿宋_GB2312" w:hint="eastAsia"/>
        </w:rPr>
        <w:t>）企业标准审查应及时开展。标准编制完成，负责部门或单位应及时组织标准的自审；自审完成应及时提交标准化室审查；确保标准编制完成一个，标准审查开展一个。</w:t>
      </w:r>
    </w:p>
    <w:p w:rsidR="00F26A86" w:rsidRPr="00F26A86" w:rsidRDefault="00F26A86" w:rsidP="00F26A86">
      <w:pPr>
        <w:spacing w:line="500" w:lineRule="exact"/>
        <w:ind w:leftChars="59" w:left="423" w:hangingChars="117" w:hanging="281"/>
        <w:rPr>
          <w:rFonts w:eastAsia="仿宋_GB2312"/>
        </w:rPr>
      </w:pPr>
      <w:r w:rsidRPr="00F26A86">
        <w:rPr>
          <w:rFonts w:eastAsia="仿宋_GB2312" w:hint="eastAsia"/>
        </w:rPr>
        <w:t>3</w:t>
      </w:r>
      <w:r w:rsidRPr="00F26A86">
        <w:rPr>
          <w:rFonts w:eastAsia="仿宋_GB2312" w:hint="eastAsia"/>
        </w:rPr>
        <w:t>）企业标准的自查，重点审查标准的格式与内容，确保标准编制的质量。自查完成后，需填写《上海申通地铁集团有限公司企业标准自查表》，由部门或单位主要负责人签字并加盖公章正式确认。同时，将该企业标准、原规章制度文件以及自查表等资料提交标准化室审查。各部门分别于</w:t>
      </w:r>
      <w:r w:rsidRPr="00F26A86">
        <w:rPr>
          <w:rFonts w:eastAsia="仿宋_GB2312" w:hint="eastAsia"/>
        </w:rPr>
        <w:t>6</w:t>
      </w:r>
      <w:r w:rsidRPr="00F26A86">
        <w:rPr>
          <w:rFonts w:eastAsia="仿宋_GB2312" w:hint="eastAsia"/>
        </w:rPr>
        <w:t>月</w:t>
      </w:r>
      <w:r w:rsidRPr="00F26A86">
        <w:rPr>
          <w:rFonts w:eastAsia="仿宋_GB2312" w:hint="eastAsia"/>
        </w:rPr>
        <w:t>14</w:t>
      </w:r>
      <w:r w:rsidRPr="00F26A86">
        <w:rPr>
          <w:rFonts w:eastAsia="仿宋_GB2312" w:hint="eastAsia"/>
        </w:rPr>
        <w:t>日和</w:t>
      </w:r>
      <w:r w:rsidRPr="00F26A86">
        <w:rPr>
          <w:rFonts w:eastAsia="仿宋_GB2312" w:hint="eastAsia"/>
        </w:rPr>
        <w:t>6</w:t>
      </w:r>
      <w:r w:rsidRPr="00F26A86">
        <w:rPr>
          <w:rFonts w:eastAsia="仿宋_GB2312" w:hint="eastAsia"/>
        </w:rPr>
        <w:t>月</w:t>
      </w:r>
      <w:r w:rsidRPr="00F26A86">
        <w:rPr>
          <w:rFonts w:eastAsia="仿宋_GB2312" w:hint="eastAsia"/>
        </w:rPr>
        <w:t>28</w:t>
      </w:r>
      <w:r w:rsidRPr="00F26A86">
        <w:rPr>
          <w:rFonts w:eastAsia="仿宋_GB2312" w:hint="eastAsia"/>
        </w:rPr>
        <w:t>日提交标准化室《上海申通地铁集团有限公司企业标准自查情况汇总表》，上报自查情况。</w:t>
      </w:r>
    </w:p>
    <w:p w:rsidR="008060AD" w:rsidRDefault="00F26A86" w:rsidP="00F26A86">
      <w:pPr>
        <w:spacing w:line="500" w:lineRule="exact"/>
        <w:ind w:leftChars="59" w:left="423" w:hangingChars="117" w:hanging="281"/>
        <w:rPr>
          <w:rFonts w:eastAsia="仿宋_GB2312"/>
        </w:rPr>
      </w:pPr>
      <w:r w:rsidRPr="00F26A86">
        <w:rPr>
          <w:rFonts w:eastAsia="仿宋_GB2312" w:hint="eastAsia"/>
        </w:rPr>
        <w:t>4</w:t>
      </w:r>
      <w:r w:rsidRPr="00F26A86">
        <w:rPr>
          <w:rFonts w:eastAsia="仿宋_GB2312" w:hint="eastAsia"/>
        </w:rPr>
        <w:t>）企业标准的标准化室审查，重点审查标准的格式。审查完成后，需填写《上海申通地铁集团有限公司企业标准审查表》，由标准化室负责人签字并加盖公章正式确认。标准化室的内部分工，技术中心审查技术标准、企发部审查管理标准、组织人事部审查管理标准，运营管理部和运营设施设备管理部应从业务条线管理上参与相关技术、管理、工作标准的审查。</w:t>
      </w:r>
    </w:p>
    <w:p w:rsidR="00F26A86" w:rsidRPr="007D5AF9" w:rsidRDefault="00F26A86" w:rsidP="00AF489F">
      <w:pPr>
        <w:spacing w:line="500" w:lineRule="exact"/>
        <w:rPr>
          <w:rFonts w:eastAsia="仿宋_GB2312"/>
        </w:rPr>
      </w:pPr>
    </w:p>
    <w:sectPr w:rsidR="00F26A86" w:rsidRPr="007D5AF9" w:rsidSect="00F26A86">
      <w:pgSz w:w="11906" w:h="16838" w:code="9"/>
      <w:pgMar w:top="1440" w:right="1797" w:bottom="1440" w:left="1797" w:header="851" w:footer="992" w:gutter="0"/>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73A" w:rsidRDefault="001C773A" w:rsidP="00581A37">
      <w:r>
        <w:separator/>
      </w:r>
    </w:p>
  </w:endnote>
  <w:endnote w:type="continuationSeparator" w:id="0">
    <w:p w:rsidR="001C773A" w:rsidRDefault="001C773A" w:rsidP="00581A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73A" w:rsidRDefault="001C773A" w:rsidP="00581A37">
      <w:r>
        <w:separator/>
      </w:r>
    </w:p>
  </w:footnote>
  <w:footnote w:type="continuationSeparator" w:id="0">
    <w:p w:rsidR="001C773A" w:rsidRDefault="001C773A" w:rsidP="00581A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917DB"/>
    <w:multiLevelType w:val="hybridMultilevel"/>
    <w:tmpl w:val="9C9E0502"/>
    <w:lvl w:ilvl="0" w:tplc="A53EC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8F941AA"/>
    <w:multiLevelType w:val="hybridMultilevel"/>
    <w:tmpl w:val="024A0DE8"/>
    <w:lvl w:ilvl="0" w:tplc="1E82D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01509FC"/>
    <w:multiLevelType w:val="hybridMultilevel"/>
    <w:tmpl w:val="024A0DE8"/>
    <w:lvl w:ilvl="0" w:tplc="1E82D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2B146A"/>
    <w:multiLevelType w:val="hybridMultilevel"/>
    <w:tmpl w:val="C5549CD4"/>
    <w:lvl w:ilvl="0" w:tplc="E17008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4D516D"/>
    <w:multiLevelType w:val="hybridMultilevel"/>
    <w:tmpl w:val="10BC6C8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4B971723"/>
    <w:multiLevelType w:val="hybridMultilevel"/>
    <w:tmpl w:val="024A0DE8"/>
    <w:lvl w:ilvl="0" w:tplc="1E82D3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0EE762F"/>
    <w:multiLevelType w:val="hybridMultilevel"/>
    <w:tmpl w:val="1D0A9272"/>
    <w:lvl w:ilvl="0" w:tplc="47CA9886">
      <w:start w:val="1"/>
      <w:numFmt w:val="japaneseCounting"/>
      <w:lvlText w:val="%1、"/>
      <w:lvlJc w:val="left"/>
      <w:pPr>
        <w:tabs>
          <w:tab w:val="num" w:pos="720"/>
        </w:tabs>
        <w:ind w:left="720" w:hanging="720"/>
      </w:pPr>
      <w:rPr>
        <w:rFonts w:hint="default"/>
      </w:rPr>
    </w:lvl>
    <w:lvl w:ilvl="1" w:tplc="C11A7E48" w:tentative="1">
      <w:start w:val="1"/>
      <w:numFmt w:val="lowerLetter"/>
      <w:lvlText w:val="%2)"/>
      <w:lvlJc w:val="left"/>
      <w:pPr>
        <w:tabs>
          <w:tab w:val="num" w:pos="840"/>
        </w:tabs>
        <w:ind w:left="840" w:hanging="420"/>
      </w:pPr>
    </w:lvl>
    <w:lvl w:ilvl="2" w:tplc="286AB748" w:tentative="1">
      <w:start w:val="1"/>
      <w:numFmt w:val="lowerRoman"/>
      <w:lvlText w:val="%3."/>
      <w:lvlJc w:val="right"/>
      <w:pPr>
        <w:tabs>
          <w:tab w:val="num" w:pos="1260"/>
        </w:tabs>
        <w:ind w:left="1260" w:hanging="420"/>
      </w:pPr>
    </w:lvl>
    <w:lvl w:ilvl="3" w:tplc="C3F4EB88" w:tentative="1">
      <w:start w:val="1"/>
      <w:numFmt w:val="decimal"/>
      <w:lvlText w:val="%4."/>
      <w:lvlJc w:val="left"/>
      <w:pPr>
        <w:tabs>
          <w:tab w:val="num" w:pos="1680"/>
        </w:tabs>
        <w:ind w:left="1680" w:hanging="420"/>
      </w:pPr>
    </w:lvl>
    <w:lvl w:ilvl="4" w:tplc="67C69640" w:tentative="1">
      <w:start w:val="1"/>
      <w:numFmt w:val="lowerLetter"/>
      <w:lvlText w:val="%5)"/>
      <w:lvlJc w:val="left"/>
      <w:pPr>
        <w:tabs>
          <w:tab w:val="num" w:pos="2100"/>
        </w:tabs>
        <w:ind w:left="2100" w:hanging="420"/>
      </w:pPr>
    </w:lvl>
    <w:lvl w:ilvl="5" w:tplc="AA2A7934" w:tentative="1">
      <w:start w:val="1"/>
      <w:numFmt w:val="lowerRoman"/>
      <w:lvlText w:val="%6."/>
      <w:lvlJc w:val="right"/>
      <w:pPr>
        <w:tabs>
          <w:tab w:val="num" w:pos="2520"/>
        </w:tabs>
        <w:ind w:left="2520" w:hanging="420"/>
      </w:pPr>
    </w:lvl>
    <w:lvl w:ilvl="6" w:tplc="23D2B3CE" w:tentative="1">
      <w:start w:val="1"/>
      <w:numFmt w:val="decimal"/>
      <w:lvlText w:val="%7."/>
      <w:lvlJc w:val="left"/>
      <w:pPr>
        <w:tabs>
          <w:tab w:val="num" w:pos="2940"/>
        </w:tabs>
        <w:ind w:left="2940" w:hanging="420"/>
      </w:pPr>
    </w:lvl>
    <w:lvl w:ilvl="7" w:tplc="582E6E4E" w:tentative="1">
      <w:start w:val="1"/>
      <w:numFmt w:val="lowerLetter"/>
      <w:lvlText w:val="%8)"/>
      <w:lvlJc w:val="left"/>
      <w:pPr>
        <w:tabs>
          <w:tab w:val="num" w:pos="3360"/>
        </w:tabs>
        <w:ind w:left="3360" w:hanging="420"/>
      </w:pPr>
    </w:lvl>
    <w:lvl w:ilvl="8" w:tplc="184202DE" w:tentative="1">
      <w:start w:val="1"/>
      <w:numFmt w:val="lowerRoman"/>
      <w:lvlText w:val="%9."/>
      <w:lvlJc w:val="right"/>
      <w:pPr>
        <w:tabs>
          <w:tab w:val="num" w:pos="3780"/>
        </w:tabs>
        <w:ind w:left="3780" w:hanging="420"/>
      </w:pPr>
    </w:lvl>
  </w:abstractNum>
  <w:abstractNum w:abstractNumId="7">
    <w:nsid w:val="5FD11A6E"/>
    <w:multiLevelType w:val="hybridMultilevel"/>
    <w:tmpl w:val="510E054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7FC6C3E"/>
    <w:multiLevelType w:val="hybridMultilevel"/>
    <w:tmpl w:val="905474C6"/>
    <w:lvl w:ilvl="0" w:tplc="0409000F">
      <w:start w:val="1"/>
      <w:numFmt w:val="decimal"/>
      <w:lvlText w:val="%1."/>
      <w:lvlJc w:val="left"/>
      <w:pPr>
        <w:tabs>
          <w:tab w:val="num" w:pos="720"/>
        </w:tabs>
        <w:ind w:left="720" w:hanging="720"/>
      </w:pPr>
      <w:rPr>
        <w:rFonts w:hint="default"/>
      </w:rPr>
    </w:lvl>
    <w:lvl w:ilvl="1" w:tplc="C11A7E48" w:tentative="1">
      <w:start w:val="1"/>
      <w:numFmt w:val="lowerLetter"/>
      <w:lvlText w:val="%2)"/>
      <w:lvlJc w:val="left"/>
      <w:pPr>
        <w:tabs>
          <w:tab w:val="num" w:pos="840"/>
        </w:tabs>
        <w:ind w:left="840" w:hanging="420"/>
      </w:pPr>
    </w:lvl>
    <w:lvl w:ilvl="2" w:tplc="286AB748" w:tentative="1">
      <w:start w:val="1"/>
      <w:numFmt w:val="lowerRoman"/>
      <w:lvlText w:val="%3."/>
      <w:lvlJc w:val="right"/>
      <w:pPr>
        <w:tabs>
          <w:tab w:val="num" w:pos="1260"/>
        </w:tabs>
        <w:ind w:left="1260" w:hanging="420"/>
      </w:pPr>
    </w:lvl>
    <w:lvl w:ilvl="3" w:tplc="C3F4EB88" w:tentative="1">
      <w:start w:val="1"/>
      <w:numFmt w:val="decimal"/>
      <w:lvlText w:val="%4."/>
      <w:lvlJc w:val="left"/>
      <w:pPr>
        <w:tabs>
          <w:tab w:val="num" w:pos="1680"/>
        </w:tabs>
        <w:ind w:left="1680" w:hanging="420"/>
      </w:pPr>
    </w:lvl>
    <w:lvl w:ilvl="4" w:tplc="67C69640" w:tentative="1">
      <w:start w:val="1"/>
      <w:numFmt w:val="lowerLetter"/>
      <w:lvlText w:val="%5)"/>
      <w:lvlJc w:val="left"/>
      <w:pPr>
        <w:tabs>
          <w:tab w:val="num" w:pos="2100"/>
        </w:tabs>
        <w:ind w:left="2100" w:hanging="420"/>
      </w:pPr>
    </w:lvl>
    <w:lvl w:ilvl="5" w:tplc="AA2A7934" w:tentative="1">
      <w:start w:val="1"/>
      <w:numFmt w:val="lowerRoman"/>
      <w:lvlText w:val="%6."/>
      <w:lvlJc w:val="right"/>
      <w:pPr>
        <w:tabs>
          <w:tab w:val="num" w:pos="2520"/>
        </w:tabs>
        <w:ind w:left="2520" w:hanging="420"/>
      </w:pPr>
    </w:lvl>
    <w:lvl w:ilvl="6" w:tplc="23D2B3CE" w:tentative="1">
      <w:start w:val="1"/>
      <w:numFmt w:val="decimal"/>
      <w:lvlText w:val="%7."/>
      <w:lvlJc w:val="left"/>
      <w:pPr>
        <w:tabs>
          <w:tab w:val="num" w:pos="2940"/>
        </w:tabs>
        <w:ind w:left="2940" w:hanging="420"/>
      </w:pPr>
    </w:lvl>
    <w:lvl w:ilvl="7" w:tplc="582E6E4E" w:tentative="1">
      <w:start w:val="1"/>
      <w:numFmt w:val="lowerLetter"/>
      <w:lvlText w:val="%8)"/>
      <w:lvlJc w:val="left"/>
      <w:pPr>
        <w:tabs>
          <w:tab w:val="num" w:pos="3360"/>
        </w:tabs>
        <w:ind w:left="3360" w:hanging="420"/>
      </w:pPr>
    </w:lvl>
    <w:lvl w:ilvl="8" w:tplc="184202DE" w:tentative="1">
      <w:start w:val="1"/>
      <w:numFmt w:val="lowerRoman"/>
      <w:lvlText w:val="%9."/>
      <w:lvlJc w:val="right"/>
      <w:pPr>
        <w:tabs>
          <w:tab w:val="num" w:pos="3780"/>
        </w:tabs>
        <w:ind w:left="3780" w:hanging="420"/>
      </w:pPr>
    </w:lvl>
  </w:abstractNum>
  <w:abstractNum w:abstractNumId="9">
    <w:nsid w:val="73B77EF9"/>
    <w:multiLevelType w:val="hybridMultilevel"/>
    <w:tmpl w:val="91E8FFE6"/>
    <w:lvl w:ilvl="0" w:tplc="1EDAE4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45E059A"/>
    <w:multiLevelType w:val="hybridMultilevel"/>
    <w:tmpl w:val="12B636DC"/>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E1D7963"/>
    <w:multiLevelType w:val="hybridMultilevel"/>
    <w:tmpl w:val="C52E31A0"/>
    <w:lvl w:ilvl="0" w:tplc="BBE49CC6">
      <w:start w:val="1"/>
      <w:numFmt w:val="japaneseCounting"/>
      <w:lvlText w:val="%1、"/>
      <w:lvlJc w:val="left"/>
      <w:pPr>
        <w:tabs>
          <w:tab w:val="num" w:pos="720"/>
        </w:tabs>
        <w:ind w:left="720" w:hanging="720"/>
      </w:pPr>
      <w:rPr>
        <w:rFonts w:hint="default"/>
      </w:rPr>
    </w:lvl>
    <w:lvl w:ilvl="1" w:tplc="E91A0772" w:tentative="1">
      <w:start w:val="1"/>
      <w:numFmt w:val="lowerLetter"/>
      <w:lvlText w:val="%2)"/>
      <w:lvlJc w:val="left"/>
      <w:pPr>
        <w:tabs>
          <w:tab w:val="num" w:pos="840"/>
        </w:tabs>
        <w:ind w:left="840" w:hanging="420"/>
      </w:pPr>
    </w:lvl>
    <w:lvl w:ilvl="2" w:tplc="209679F8" w:tentative="1">
      <w:start w:val="1"/>
      <w:numFmt w:val="lowerRoman"/>
      <w:lvlText w:val="%3."/>
      <w:lvlJc w:val="right"/>
      <w:pPr>
        <w:tabs>
          <w:tab w:val="num" w:pos="1260"/>
        </w:tabs>
        <w:ind w:left="1260" w:hanging="420"/>
      </w:pPr>
    </w:lvl>
    <w:lvl w:ilvl="3" w:tplc="A37A0A3E" w:tentative="1">
      <w:start w:val="1"/>
      <w:numFmt w:val="decimal"/>
      <w:lvlText w:val="%4."/>
      <w:lvlJc w:val="left"/>
      <w:pPr>
        <w:tabs>
          <w:tab w:val="num" w:pos="1680"/>
        </w:tabs>
        <w:ind w:left="1680" w:hanging="420"/>
      </w:pPr>
    </w:lvl>
    <w:lvl w:ilvl="4" w:tplc="4794572C" w:tentative="1">
      <w:start w:val="1"/>
      <w:numFmt w:val="lowerLetter"/>
      <w:lvlText w:val="%5)"/>
      <w:lvlJc w:val="left"/>
      <w:pPr>
        <w:tabs>
          <w:tab w:val="num" w:pos="2100"/>
        </w:tabs>
        <w:ind w:left="2100" w:hanging="420"/>
      </w:pPr>
    </w:lvl>
    <w:lvl w:ilvl="5" w:tplc="A27C1B0A" w:tentative="1">
      <w:start w:val="1"/>
      <w:numFmt w:val="lowerRoman"/>
      <w:lvlText w:val="%6."/>
      <w:lvlJc w:val="right"/>
      <w:pPr>
        <w:tabs>
          <w:tab w:val="num" w:pos="2520"/>
        </w:tabs>
        <w:ind w:left="2520" w:hanging="420"/>
      </w:pPr>
    </w:lvl>
    <w:lvl w:ilvl="6" w:tplc="C3E24EC6" w:tentative="1">
      <w:start w:val="1"/>
      <w:numFmt w:val="decimal"/>
      <w:lvlText w:val="%7."/>
      <w:lvlJc w:val="left"/>
      <w:pPr>
        <w:tabs>
          <w:tab w:val="num" w:pos="2940"/>
        </w:tabs>
        <w:ind w:left="2940" w:hanging="420"/>
      </w:pPr>
    </w:lvl>
    <w:lvl w:ilvl="7" w:tplc="6A1C27B8" w:tentative="1">
      <w:start w:val="1"/>
      <w:numFmt w:val="lowerLetter"/>
      <w:lvlText w:val="%8)"/>
      <w:lvlJc w:val="left"/>
      <w:pPr>
        <w:tabs>
          <w:tab w:val="num" w:pos="3360"/>
        </w:tabs>
        <w:ind w:left="3360" w:hanging="420"/>
      </w:pPr>
    </w:lvl>
    <w:lvl w:ilvl="8" w:tplc="3532471A" w:tentative="1">
      <w:start w:val="1"/>
      <w:numFmt w:val="lowerRoman"/>
      <w:lvlText w:val="%9."/>
      <w:lvlJc w:val="right"/>
      <w:pPr>
        <w:tabs>
          <w:tab w:val="num" w:pos="3780"/>
        </w:tabs>
        <w:ind w:left="3780" w:hanging="420"/>
      </w:pPr>
    </w:lvl>
  </w:abstractNum>
  <w:num w:numId="1">
    <w:abstractNumId w:val="11"/>
  </w:num>
  <w:num w:numId="2">
    <w:abstractNumId w:val="6"/>
  </w:num>
  <w:num w:numId="3">
    <w:abstractNumId w:val="4"/>
  </w:num>
  <w:num w:numId="4">
    <w:abstractNumId w:val="10"/>
  </w:num>
  <w:num w:numId="5">
    <w:abstractNumId w:val="2"/>
  </w:num>
  <w:num w:numId="6">
    <w:abstractNumId w:val="0"/>
  </w:num>
  <w:num w:numId="7">
    <w:abstractNumId w:val="3"/>
  </w:num>
  <w:num w:numId="8">
    <w:abstractNumId w:val="5"/>
  </w:num>
  <w:num w:numId="9">
    <w:abstractNumId w:val="9"/>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686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20DB"/>
    <w:rsid w:val="00003985"/>
    <w:rsid w:val="00007C96"/>
    <w:rsid w:val="00010A5D"/>
    <w:rsid w:val="00011923"/>
    <w:rsid w:val="0001264E"/>
    <w:rsid w:val="000130BA"/>
    <w:rsid w:val="00013ED5"/>
    <w:rsid w:val="000140B4"/>
    <w:rsid w:val="0001573B"/>
    <w:rsid w:val="0001584C"/>
    <w:rsid w:val="00016DAA"/>
    <w:rsid w:val="000223AF"/>
    <w:rsid w:val="0002287C"/>
    <w:rsid w:val="00022BB4"/>
    <w:rsid w:val="000247F4"/>
    <w:rsid w:val="00025453"/>
    <w:rsid w:val="00026359"/>
    <w:rsid w:val="00026BA9"/>
    <w:rsid w:val="00026C1F"/>
    <w:rsid w:val="00030F81"/>
    <w:rsid w:val="000339FD"/>
    <w:rsid w:val="000361E9"/>
    <w:rsid w:val="00043B4F"/>
    <w:rsid w:val="000440BE"/>
    <w:rsid w:val="000446C5"/>
    <w:rsid w:val="0004479D"/>
    <w:rsid w:val="000462C1"/>
    <w:rsid w:val="00051FC3"/>
    <w:rsid w:val="00052346"/>
    <w:rsid w:val="00053A15"/>
    <w:rsid w:val="00055B26"/>
    <w:rsid w:val="00055ECF"/>
    <w:rsid w:val="00057003"/>
    <w:rsid w:val="00063056"/>
    <w:rsid w:val="000639F8"/>
    <w:rsid w:val="00063BCB"/>
    <w:rsid w:val="000643CD"/>
    <w:rsid w:val="000652F7"/>
    <w:rsid w:val="00065CA8"/>
    <w:rsid w:val="000662E0"/>
    <w:rsid w:val="0006681A"/>
    <w:rsid w:val="000705B5"/>
    <w:rsid w:val="00070A41"/>
    <w:rsid w:val="0007251A"/>
    <w:rsid w:val="0007278A"/>
    <w:rsid w:val="00072E30"/>
    <w:rsid w:val="000747A9"/>
    <w:rsid w:val="00075369"/>
    <w:rsid w:val="00080A53"/>
    <w:rsid w:val="00080D45"/>
    <w:rsid w:val="000825F9"/>
    <w:rsid w:val="000826A2"/>
    <w:rsid w:val="0008630C"/>
    <w:rsid w:val="00090985"/>
    <w:rsid w:val="00090EF6"/>
    <w:rsid w:val="000910B0"/>
    <w:rsid w:val="00091622"/>
    <w:rsid w:val="000918ED"/>
    <w:rsid w:val="00092FAD"/>
    <w:rsid w:val="000930D6"/>
    <w:rsid w:val="000938D0"/>
    <w:rsid w:val="0009600F"/>
    <w:rsid w:val="000971B3"/>
    <w:rsid w:val="00097896"/>
    <w:rsid w:val="000A049C"/>
    <w:rsid w:val="000A1AC4"/>
    <w:rsid w:val="000A5054"/>
    <w:rsid w:val="000A66E3"/>
    <w:rsid w:val="000B32EC"/>
    <w:rsid w:val="000B4697"/>
    <w:rsid w:val="000B48A9"/>
    <w:rsid w:val="000B5A77"/>
    <w:rsid w:val="000B7439"/>
    <w:rsid w:val="000B7CF7"/>
    <w:rsid w:val="000C06C8"/>
    <w:rsid w:val="000C2408"/>
    <w:rsid w:val="000C32E6"/>
    <w:rsid w:val="000C517A"/>
    <w:rsid w:val="000C6073"/>
    <w:rsid w:val="000C7E22"/>
    <w:rsid w:val="000D14C7"/>
    <w:rsid w:val="000D1A3E"/>
    <w:rsid w:val="000D3CC3"/>
    <w:rsid w:val="000D3DBC"/>
    <w:rsid w:val="000D5BD9"/>
    <w:rsid w:val="000D602C"/>
    <w:rsid w:val="000D62EC"/>
    <w:rsid w:val="000E0873"/>
    <w:rsid w:val="000E3EF1"/>
    <w:rsid w:val="000E46D7"/>
    <w:rsid w:val="000F04BF"/>
    <w:rsid w:val="000F1F35"/>
    <w:rsid w:val="000F20A8"/>
    <w:rsid w:val="000F48A6"/>
    <w:rsid w:val="000F4D30"/>
    <w:rsid w:val="000F52C7"/>
    <w:rsid w:val="000F583D"/>
    <w:rsid w:val="000F5EB6"/>
    <w:rsid w:val="000F67EC"/>
    <w:rsid w:val="000F72F0"/>
    <w:rsid w:val="0010034C"/>
    <w:rsid w:val="0010174D"/>
    <w:rsid w:val="00102244"/>
    <w:rsid w:val="00102276"/>
    <w:rsid w:val="00102EF1"/>
    <w:rsid w:val="00105AAE"/>
    <w:rsid w:val="001069C1"/>
    <w:rsid w:val="00107D45"/>
    <w:rsid w:val="00110370"/>
    <w:rsid w:val="00110F66"/>
    <w:rsid w:val="00113564"/>
    <w:rsid w:val="001135FA"/>
    <w:rsid w:val="001148FB"/>
    <w:rsid w:val="00115C5D"/>
    <w:rsid w:val="00115CBF"/>
    <w:rsid w:val="00121476"/>
    <w:rsid w:val="001242AB"/>
    <w:rsid w:val="001249AD"/>
    <w:rsid w:val="00125A79"/>
    <w:rsid w:val="0012610C"/>
    <w:rsid w:val="001264AC"/>
    <w:rsid w:val="00127BDD"/>
    <w:rsid w:val="00127DA8"/>
    <w:rsid w:val="001313B0"/>
    <w:rsid w:val="0013152C"/>
    <w:rsid w:val="00131991"/>
    <w:rsid w:val="00131E98"/>
    <w:rsid w:val="00133BE0"/>
    <w:rsid w:val="0013401A"/>
    <w:rsid w:val="00134055"/>
    <w:rsid w:val="00135CD2"/>
    <w:rsid w:val="00137328"/>
    <w:rsid w:val="00137DEA"/>
    <w:rsid w:val="001442AB"/>
    <w:rsid w:val="0014652F"/>
    <w:rsid w:val="00146D6D"/>
    <w:rsid w:val="0014750F"/>
    <w:rsid w:val="00147A91"/>
    <w:rsid w:val="00150337"/>
    <w:rsid w:val="001526A5"/>
    <w:rsid w:val="00154016"/>
    <w:rsid w:val="00155240"/>
    <w:rsid w:val="00155CE3"/>
    <w:rsid w:val="001565D2"/>
    <w:rsid w:val="00156803"/>
    <w:rsid w:val="0015696F"/>
    <w:rsid w:val="001572BF"/>
    <w:rsid w:val="00157B88"/>
    <w:rsid w:val="00161DB4"/>
    <w:rsid w:val="00162BDF"/>
    <w:rsid w:val="00162FFB"/>
    <w:rsid w:val="00164092"/>
    <w:rsid w:val="00164A3D"/>
    <w:rsid w:val="00164AB3"/>
    <w:rsid w:val="00164D0D"/>
    <w:rsid w:val="001663E2"/>
    <w:rsid w:val="00166574"/>
    <w:rsid w:val="00166BCB"/>
    <w:rsid w:val="00170695"/>
    <w:rsid w:val="001709F2"/>
    <w:rsid w:val="0017162B"/>
    <w:rsid w:val="00174DE7"/>
    <w:rsid w:val="001768CE"/>
    <w:rsid w:val="00176DC5"/>
    <w:rsid w:val="00176E9A"/>
    <w:rsid w:val="00183566"/>
    <w:rsid w:val="0018430E"/>
    <w:rsid w:val="0018485C"/>
    <w:rsid w:val="00185F3D"/>
    <w:rsid w:val="00186C36"/>
    <w:rsid w:val="00186F77"/>
    <w:rsid w:val="00187379"/>
    <w:rsid w:val="00187B76"/>
    <w:rsid w:val="0019046D"/>
    <w:rsid w:val="00191CD0"/>
    <w:rsid w:val="0019574E"/>
    <w:rsid w:val="00197CA4"/>
    <w:rsid w:val="001A05D4"/>
    <w:rsid w:val="001A0BE5"/>
    <w:rsid w:val="001A11EA"/>
    <w:rsid w:val="001A1A3E"/>
    <w:rsid w:val="001A4482"/>
    <w:rsid w:val="001A60EF"/>
    <w:rsid w:val="001B0939"/>
    <w:rsid w:val="001B141F"/>
    <w:rsid w:val="001B502B"/>
    <w:rsid w:val="001C0D58"/>
    <w:rsid w:val="001C1678"/>
    <w:rsid w:val="001C1CE3"/>
    <w:rsid w:val="001C3C2A"/>
    <w:rsid w:val="001C3D1A"/>
    <w:rsid w:val="001C55F2"/>
    <w:rsid w:val="001C65EC"/>
    <w:rsid w:val="001C69BC"/>
    <w:rsid w:val="001C773A"/>
    <w:rsid w:val="001C7935"/>
    <w:rsid w:val="001D0641"/>
    <w:rsid w:val="001D1A2D"/>
    <w:rsid w:val="001D3AE0"/>
    <w:rsid w:val="001E0AE6"/>
    <w:rsid w:val="001E0ED9"/>
    <w:rsid w:val="001E1DE1"/>
    <w:rsid w:val="001E3DD6"/>
    <w:rsid w:val="001E3E56"/>
    <w:rsid w:val="001E5337"/>
    <w:rsid w:val="001E7021"/>
    <w:rsid w:val="001F0F36"/>
    <w:rsid w:val="001F17F6"/>
    <w:rsid w:val="001F421B"/>
    <w:rsid w:val="001F7014"/>
    <w:rsid w:val="002001CC"/>
    <w:rsid w:val="00200324"/>
    <w:rsid w:val="002007E8"/>
    <w:rsid w:val="00203706"/>
    <w:rsid w:val="00205788"/>
    <w:rsid w:val="00206F36"/>
    <w:rsid w:val="00207B3E"/>
    <w:rsid w:val="00211BD9"/>
    <w:rsid w:val="00212739"/>
    <w:rsid w:val="00212A5E"/>
    <w:rsid w:val="002131EA"/>
    <w:rsid w:val="002132CA"/>
    <w:rsid w:val="0021457B"/>
    <w:rsid w:val="00214C3F"/>
    <w:rsid w:val="0021684F"/>
    <w:rsid w:val="00217FFC"/>
    <w:rsid w:val="00221DA3"/>
    <w:rsid w:val="00221F59"/>
    <w:rsid w:val="00223126"/>
    <w:rsid w:val="00224CDD"/>
    <w:rsid w:val="002258F1"/>
    <w:rsid w:val="002303A9"/>
    <w:rsid w:val="00231539"/>
    <w:rsid w:val="002326A7"/>
    <w:rsid w:val="00233031"/>
    <w:rsid w:val="0023473F"/>
    <w:rsid w:val="00235908"/>
    <w:rsid w:val="00236B35"/>
    <w:rsid w:val="00237D1E"/>
    <w:rsid w:val="00237FAA"/>
    <w:rsid w:val="00242FB5"/>
    <w:rsid w:val="00243F61"/>
    <w:rsid w:val="0024502F"/>
    <w:rsid w:val="00252098"/>
    <w:rsid w:val="00253E45"/>
    <w:rsid w:val="00254C6A"/>
    <w:rsid w:val="00256E7D"/>
    <w:rsid w:val="00260670"/>
    <w:rsid w:val="0026073D"/>
    <w:rsid w:val="002609AB"/>
    <w:rsid w:val="0026230F"/>
    <w:rsid w:val="00265574"/>
    <w:rsid w:val="0026596B"/>
    <w:rsid w:val="00265AFD"/>
    <w:rsid w:val="00265D90"/>
    <w:rsid w:val="002678E0"/>
    <w:rsid w:val="00267E5D"/>
    <w:rsid w:val="00270849"/>
    <w:rsid w:val="00271C2D"/>
    <w:rsid w:val="002726AD"/>
    <w:rsid w:val="002729C8"/>
    <w:rsid w:val="00272C45"/>
    <w:rsid w:val="002744F7"/>
    <w:rsid w:val="00275ACD"/>
    <w:rsid w:val="002775BE"/>
    <w:rsid w:val="00280795"/>
    <w:rsid w:val="002809AE"/>
    <w:rsid w:val="00280A10"/>
    <w:rsid w:val="002871FD"/>
    <w:rsid w:val="00290315"/>
    <w:rsid w:val="00292CC8"/>
    <w:rsid w:val="00295906"/>
    <w:rsid w:val="002A05A3"/>
    <w:rsid w:val="002A46D4"/>
    <w:rsid w:val="002A46E8"/>
    <w:rsid w:val="002A52B4"/>
    <w:rsid w:val="002B05F7"/>
    <w:rsid w:val="002B0BE6"/>
    <w:rsid w:val="002B1823"/>
    <w:rsid w:val="002B1DED"/>
    <w:rsid w:val="002B2F54"/>
    <w:rsid w:val="002B6C0D"/>
    <w:rsid w:val="002B7728"/>
    <w:rsid w:val="002B7C00"/>
    <w:rsid w:val="002C1051"/>
    <w:rsid w:val="002C1ECF"/>
    <w:rsid w:val="002C2AB5"/>
    <w:rsid w:val="002C3A05"/>
    <w:rsid w:val="002C4E7A"/>
    <w:rsid w:val="002C6CD6"/>
    <w:rsid w:val="002C7397"/>
    <w:rsid w:val="002D1D1F"/>
    <w:rsid w:val="002D2162"/>
    <w:rsid w:val="002D2398"/>
    <w:rsid w:val="002D2F85"/>
    <w:rsid w:val="002D5097"/>
    <w:rsid w:val="002E03FE"/>
    <w:rsid w:val="002E4219"/>
    <w:rsid w:val="002E60D0"/>
    <w:rsid w:val="002E6556"/>
    <w:rsid w:val="002F0B70"/>
    <w:rsid w:val="002F1081"/>
    <w:rsid w:val="002F2552"/>
    <w:rsid w:val="002F3AED"/>
    <w:rsid w:val="002F44EA"/>
    <w:rsid w:val="002F4BB8"/>
    <w:rsid w:val="002F640C"/>
    <w:rsid w:val="00300405"/>
    <w:rsid w:val="0030126A"/>
    <w:rsid w:val="00303CF0"/>
    <w:rsid w:val="00304E41"/>
    <w:rsid w:val="003055E1"/>
    <w:rsid w:val="0030635A"/>
    <w:rsid w:val="003067D5"/>
    <w:rsid w:val="003108A4"/>
    <w:rsid w:val="00311BE9"/>
    <w:rsid w:val="003128C0"/>
    <w:rsid w:val="00313F5D"/>
    <w:rsid w:val="0031453F"/>
    <w:rsid w:val="003156D1"/>
    <w:rsid w:val="003172B7"/>
    <w:rsid w:val="003176C3"/>
    <w:rsid w:val="0032008B"/>
    <w:rsid w:val="00321B86"/>
    <w:rsid w:val="00323F17"/>
    <w:rsid w:val="00324274"/>
    <w:rsid w:val="0032526A"/>
    <w:rsid w:val="00326DB3"/>
    <w:rsid w:val="00327953"/>
    <w:rsid w:val="00327C2F"/>
    <w:rsid w:val="003306F5"/>
    <w:rsid w:val="00331922"/>
    <w:rsid w:val="00331A2F"/>
    <w:rsid w:val="003324AC"/>
    <w:rsid w:val="00332864"/>
    <w:rsid w:val="00333360"/>
    <w:rsid w:val="003357F4"/>
    <w:rsid w:val="003367C2"/>
    <w:rsid w:val="00341000"/>
    <w:rsid w:val="00342492"/>
    <w:rsid w:val="00342AC9"/>
    <w:rsid w:val="00346890"/>
    <w:rsid w:val="00346897"/>
    <w:rsid w:val="00351B59"/>
    <w:rsid w:val="003521D7"/>
    <w:rsid w:val="0035274D"/>
    <w:rsid w:val="00352B09"/>
    <w:rsid w:val="003533AE"/>
    <w:rsid w:val="0035368C"/>
    <w:rsid w:val="00353F12"/>
    <w:rsid w:val="00354711"/>
    <w:rsid w:val="00355BBF"/>
    <w:rsid w:val="003569ED"/>
    <w:rsid w:val="0035712B"/>
    <w:rsid w:val="00357C29"/>
    <w:rsid w:val="0036134E"/>
    <w:rsid w:val="003614B2"/>
    <w:rsid w:val="00362A11"/>
    <w:rsid w:val="0037014C"/>
    <w:rsid w:val="003763FB"/>
    <w:rsid w:val="003768CA"/>
    <w:rsid w:val="00380728"/>
    <w:rsid w:val="00383C27"/>
    <w:rsid w:val="00384C42"/>
    <w:rsid w:val="0038506D"/>
    <w:rsid w:val="00385BBD"/>
    <w:rsid w:val="00385CE2"/>
    <w:rsid w:val="0038668A"/>
    <w:rsid w:val="00387425"/>
    <w:rsid w:val="00387C85"/>
    <w:rsid w:val="00392304"/>
    <w:rsid w:val="00392AD3"/>
    <w:rsid w:val="003931A0"/>
    <w:rsid w:val="00393963"/>
    <w:rsid w:val="00395064"/>
    <w:rsid w:val="00396741"/>
    <w:rsid w:val="00396D44"/>
    <w:rsid w:val="00397242"/>
    <w:rsid w:val="003A157A"/>
    <w:rsid w:val="003A2A99"/>
    <w:rsid w:val="003A36AA"/>
    <w:rsid w:val="003A60FA"/>
    <w:rsid w:val="003A656A"/>
    <w:rsid w:val="003A78B0"/>
    <w:rsid w:val="003B01EF"/>
    <w:rsid w:val="003B0496"/>
    <w:rsid w:val="003B0AAD"/>
    <w:rsid w:val="003B3414"/>
    <w:rsid w:val="003B5514"/>
    <w:rsid w:val="003B556E"/>
    <w:rsid w:val="003B64E3"/>
    <w:rsid w:val="003B6D91"/>
    <w:rsid w:val="003B72D6"/>
    <w:rsid w:val="003B74FF"/>
    <w:rsid w:val="003C3C7B"/>
    <w:rsid w:val="003C4738"/>
    <w:rsid w:val="003C51A1"/>
    <w:rsid w:val="003C5943"/>
    <w:rsid w:val="003C7698"/>
    <w:rsid w:val="003D2A5E"/>
    <w:rsid w:val="003D624D"/>
    <w:rsid w:val="003D67BB"/>
    <w:rsid w:val="003D717A"/>
    <w:rsid w:val="003D7FCC"/>
    <w:rsid w:val="003E1268"/>
    <w:rsid w:val="003E15D4"/>
    <w:rsid w:val="003E28B1"/>
    <w:rsid w:val="003E35BC"/>
    <w:rsid w:val="003E3F49"/>
    <w:rsid w:val="003E4905"/>
    <w:rsid w:val="003E58B8"/>
    <w:rsid w:val="003E5B98"/>
    <w:rsid w:val="003E6607"/>
    <w:rsid w:val="003E6DC5"/>
    <w:rsid w:val="003F2741"/>
    <w:rsid w:val="003F2AF9"/>
    <w:rsid w:val="003F2D66"/>
    <w:rsid w:val="003F32D6"/>
    <w:rsid w:val="003F35B5"/>
    <w:rsid w:val="003F4563"/>
    <w:rsid w:val="003F49B5"/>
    <w:rsid w:val="003F54B7"/>
    <w:rsid w:val="003F6EF8"/>
    <w:rsid w:val="003F75BB"/>
    <w:rsid w:val="003F7BCE"/>
    <w:rsid w:val="004004A1"/>
    <w:rsid w:val="004004EB"/>
    <w:rsid w:val="00400F8B"/>
    <w:rsid w:val="00401BB0"/>
    <w:rsid w:val="00402265"/>
    <w:rsid w:val="00405977"/>
    <w:rsid w:val="00405BA9"/>
    <w:rsid w:val="00407E82"/>
    <w:rsid w:val="00410AC7"/>
    <w:rsid w:val="00411BAC"/>
    <w:rsid w:val="00412B9F"/>
    <w:rsid w:val="00412DE5"/>
    <w:rsid w:val="00414125"/>
    <w:rsid w:val="004146A2"/>
    <w:rsid w:val="004147A8"/>
    <w:rsid w:val="004167D0"/>
    <w:rsid w:val="00417242"/>
    <w:rsid w:val="00417C43"/>
    <w:rsid w:val="00420087"/>
    <w:rsid w:val="00423303"/>
    <w:rsid w:val="004243B5"/>
    <w:rsid w:val="0042635B"/>
    <w:rsid w:val="004267C2"/>
    <w:rsid w:val="004310EC"/>
    <w:rsid w:val="0043156C"/>
    <w:rsid w:val="00431BDE"/>
    <w:rsid w:val="00433065"/>
    <w:rsid w:val="00434C97"/>
    <w:rsid w:val="0043619F"/>
    <w:rsid w:val="0043703A"/>
    <w:rsid w:val="00437B9C"/>
    <w:rsid w:val="004414B2"/>
    <w:rsid w:val="004427EC"/>
    <w:rsid w:val="00442AB5"/>
    <w:rsid w:val="0044654D"/>
    <w:rsid w:val="004515BD"/>
    <w:rsid w:val="004539AB"/>
    <w:rsid w:val="00453E39"/>
    <w:rsid w:val="00456DD3"/>
    <w:rsid w:val="0046060D"/>
    <w:rsid w:val="004608BF"/>
    <w:rsid w:val="004630A7"/>
    <w:rsid w:val="00466181"/>
    <w:rsid w:val="0046741D"/>
    <w:rsid w:val="004677B9"/>
    <w:rsid w:val="00470BFE"/>
    <w:rsid w:val="00472082"/>
    <w:rsid w:val="004722A0"/>
    <w:rsid w:val="0047487F"/>
    <w:rsid w:val="00475FE9"/>
    <w:rsid w:val="00476504"/>
    <w:rsid w:val="004804EB"/>
    <w:rsid w:val="004817E3"/>
    <w:rsid w:val="00481C59"/>
    <w:rsid w:val="00481DB1"/>
    <w:rsid w:val="00485CF5"/>
    <w:rsid w:val="004861EA"/>
    <w:rsid w:val="00491B47"/>
    <w:rsid w:val="00494B34"/>
    <w:rsid w:val="00496133"/>
    <w:rsid w:val="00497A09"/>
    <w:rsid w:val="004A2AC8"/>
    <w:rsid w:val="004A301B"/>
    <w:rsid w:val="004A3EC0"/>
    <w:rsid w:val="004A6530"/>
    <w:rsid w:val="004A668A"/>
    <w:rsid w:val="004A7578"/>
    <w:rsid w:val="004A769E"/>
    <w:rsid w:val="004B085A"/>
    <w:rsid w:val="004B32AD"/>
    <w:rsid w:val="004B70E8"/>
    <w:rsid w:val="004C1CDF"/>
    <w:rsid w:val="004C3B68"/>
    <w:rsid w:val="004C43D8"/>
    <w:rsid w:val="004C44E9"/>
    <w:rsid w:val="004D3135"/>
    <w:rsid w:val="004D4FB9"/>
    <w:rsid w:val="004D5970"/>
    <w:rsid w:val="004D7F77"/>
    <w:rsid w:val="004E0630"/>
    <w:rsid w:val="004E0AC6"/>
    <w:rsid w:val="004E0F6D"/>
    <w:rsid w:val="004E26A8"/>
    <w:rsid w:val="004E29E1"/>
    <w:rsid w:val="004E3FF9"/>
    <w:rsid w:val="004E42CF"/>
    <w:rsid w:val="004E55D0"/>
    <w:rsid w:val="004E640C"/>
    <w:rsid w:val="004F1209"/>
    <w:rsid w:val="004F200F"/>
    <w:rsid w:val="004F53FD"/>
    <w:rsid w:val="004F5FEE"/>
    <w:rsid w:val="00502C6D"/>
    <w:rsid w:val="0050407E"/>
    <w:rsid w:val="005049F2"/>
    <w:rsid w:val="00506841"/>
    <w:rsid w:val="00507224"/>
    <w:rsid w:val="0050795C"/>
    <w:rsid w:val="00507DB0"/>
    <w:rsid w:val="00507E95"/>
    <w:rsid w:val="005122E0"/>
    <w:rsid w:val="00514C0E"/>
    <w:rsid w:val="005151B3"/>
    <w:rsid w:val="005167E9"/>
    <w:rsid w:val="005206A4"/>
    <w:rsid w:val="00520B4C"/>
    <w:rsid w:val="00520E3C"/>
    <w:rsid w:val="0052145D"/>
    <w:rsid w:val="0052192C"/>
    <w:rsid w:val="00522B10"/>
    <w:rsid w:val="00523FD5"/>
    <w:rsid w:val="005241A4"/>
    <w:rsid w:val="00524E87"/>
    <w:rsid w:val="00527153"/>
    <w:rsid w:val="00531731"/>
    <w:rsid w:val="00533138"/>
    <w:rsid w:val="0053382C"/>
    <w:rsid w:val="00533FAC"/>
    <w:rsid w:val="00536374"/>
    <w:rsid w:val="00537911"/>
    <w:rsid w:val="00540620"/>
    <w:rsid w:val="00540926"/>
    <w:rsid w:val="00542CD0"/>
    <w:rsid w:val="00542E09"/>
    <w:rsid w:val="00544BFA"/>
    <w:rsid w:val="00545197"/>
    <w:rsid w:val="00545702"/>
    <w:rsid w:val="00545B84"/>
    <w:rsid w:val="005473E7"/>
    <w:rsid w:val="00550719"/>
    <w:rsid w:val="00552760"/>
    <w:rsid w:val="00554CBA"/>
    <w:rsid w:val="00561D24"/>
    <w:rsid w:val="005629C8"/>
    <w:rsid w:val="00565999"/>
    <w:rsid w:val="00566433"/>
    <w:rsid w:val="00567414"/>
    <w:rsid w:val="00573384"/>
    <w:rsid w:val="00574EC8"/>
    <w:rsid w:val="005753E9"/>
    <w:rsid w:val="00576D5B"/>
    <w:rsid w:val="0057776F"/>
    <w:rsid w:val="00581A37"/>
    <w:rsid w:val="00584B64"/>
    <w:rsid w:val="005858A4"/>
    <w:rsid w:val="00586302"/>
    <w:rsid w:val="00586F1E"/>
    <w:rsid w:val="00591CB1"/>
    <w:rsid w:val="005931C8"/>
    <w:rsid w:val="00593415"/>
    <w:rsid w:val="0059473F"/>
    <w:rsid w:val="00596ED3"/>
    <w:rsid w:val="005A02B5"/>
    <w:rsid w:val="005A0AC0"/>
    <w:rsid w:val="005A3742"/>
    <w:rsid w:val="005B21F4"/>
    <w:rsid w:val="005B3E5E"/>
    <w:rsid w:val="005B415C"/>
    <w:rsid w:val="005B60DF"/>
    <w:rsid w:val="005C06F9"/>
    <w:rsid w:val="005C09BE"/>
    <w:rsid w:val="005C1D51"/>
    <w:rsid w:val="005C254B"/>
    <w:rsid w:val="005C2EFB"/>
    <w:rsid w:val="005C3B25"/>
    <w:rsid w:val="005C5563"/>
    <w:rsid w:val="005C633A"/>
    <w:rsid w:val="005D003E"/>
    <w:rsid w:val="005D02BD"/>
    <w:rsid w:val="005D05F1"/>
    <w:rsid w:val="005D0EF1"/>
    <w:rsid w:val="005D261D"/>
    <w:rsid w:val="005D2714"/>
    <w:rsid w:val="005D37DE"/>
    <w:rsid w:val="005D4870"/>
    <w:rsid w:val="005D6A66"/>
    <w:rsid w:val="005D735E"/>
    <w:rsid w:val="005E1D95"/>
    <w:rsid w:val="005E46D5"/>
    <w:rsid w:val="005E4D36"/>
    <w:rsid w:val="005E6C61"/>
    <w:rsid w:val="005F0207"/>
    <w:rsid w:val="005F1FF9"/>
    <w:rsid w:val="005F3904"/>
    <w:rsid w:val="005F4F10"/>
    <w:rsid w:val="005F668B"/>
    <w:rsid w:val="005F794D"/>
    <w:rsid w:val="00601E92"/>
    <w:rsid w:val="006030A8"/>
    <w:rsid w:val="006038A6"/>
    <w:rsid w:val="00604264"/>
    <w:rsid w:val="006067BE"/>
    <w:rsid w:val="00607463"/>
    <w:rsid w:val="00607578"/>
    <w:rsid w:val="0061073C"/>
    <w:rsid w:val="0061133D"/>
    <w:rsid w:val="00616674"/>
    <w:rsid w:val="00617752"/>
    <w:rsid w:val="00620D28"/>
    <w:rsid w:val="00624839"/>
    <w:rsid w:val="00630E0A"/>
    <w:rsid w:val="00631175"/>
    <w:rsid w:val="00631E62"/>
    <w:rsid w:val="00634633"/>
    <w:rsid w:val="00634C02"/>
    <w:rsid w:val="00634DB4"/>
    <w:rsid w:val="006366FE"/>
    <w:rsid w:val="00637A72"/>
    <w:rsid w:val="00640099"/>
    <w:rsid w:val="0064043F"/>
    <w:rsid w:val="00641A5D"/>
    <w:rsid w:val="006432EE"/>
    <w:rsid w:val="006434CF"/>
    <w:rsid w:val="0064363D"/>
    <w:rsid w:val="00650B42"/>
    <w:rsid w:val="00650E00"/>
    <w:rsid w:val="00652551"/>
    <w:rsid w:val="006530E5"/>
    <w:rsid w:val="006533C2"/>
    <w:rsid w:val="0065507E"/>
    <w:rsid w:val="00655DCD"/>
    <w:rsid w:val="00656027"/>
    <w:rsid w:val="0065787F"/>
    <w:rsid w:val="00660257"/>
    <w:rsid w:val="00660B8D"/>
    <w:rsid w:val="006645FC"/>
    <w:rsid w:val="0066508B"/>
    <w:rsid w:val="006659E9"/>
    <w:rsid w:val="00665B1E"/>
    <w:rsid w:val="00665B28"/>
    <w:rsid w:val="00667453"/>
    <w:rsid w:val="00670872"/>
    <w:rsid w:val="00673F0F"/>
    <w:rsid w:val="006744B8"/>
    <w:rsid w:val="006745BE"/>
    <w:rsid w:val="00674957"/>
    <w:rsid w:val="00675086"/>
    <w:rsid w:val="00676596"/>
    <w:rsid w:val="00676AC1"/>
    <w:rsid w:val="00677A49"/>
    <w:rsid w:val="0068021D"/>
    <w:rsid w:val="00680654"/>
    <w:rsid w:val="0068117A"/>
    <w:rsid w:val="00681306"/>
    <w:rsid w:val="006813DB"/>
    <w:rsid w:val="0068742D"/>
    <w:rsid w:val="00687CBF"/>
    <w:rsid w:val="00687E05"/>
    <w:rsid w:val="0069107B"/>
    <w:rsid w:val="00691BED"/>
    <w:rsid w:val="00693580"/>
    <w:rsid w:val="00693C6E"/>
    <w:rsid w:val="00693FEB"/>
    <w:rsid w:val="0069487D"/>
    <w:rsid w:val="00694FC3"/>
    <w:rsid w:val="00695287"/>
    <w:rsid w:val="00696447"/>
    <w:rsid w:val="00697610"/>
    <w:rsid w:val="006A3FF2"/>
    <w:rsid w:val="006A44FA"/>
    <w:rsid w:val="006A4903"/>
    <w:rsid w:val="006A581E"/>
    <w:rsid w:val="006A6B7A"/>
    <w:rsid w:val="006B11D2"/>
    <w:rsid w:val="006B78D1"/>
    <w:rsid w:val="006C0774"/>
    <w:rsid w:val="006C1249"/>
    <w:rsid w:val="006C144B"/>
    <w:rsid w:val="006C33CD"/>
    <w:rsid w:val="006C501E"/>
    <w:rsid w:val="006C5E63"/>
    <w:rsid w:val="006C6732"/>
    <w:rsid w:val="006D05F2"/>
    <w:rsid w:val="006D0604"/>
    <w:rsid w:val="006D1D86"/>
    <w:rsid w:val="006D5124"/>
    <w:rsid w:val="006D714F"/>
    <w:rsid w:val="006D7FFB"/>
    <w:rsid w:val="006E4111"/>
    <w:rsid w:val="006E4D30"/>
    <w:rsid w:val="006E618D"/>
    <w:rsid w:val="006E6769"/>
    <w:rsid w:val="006E697D"/>
    <w:rsid w:val="006E728D"/>
    <w:rsid w:val="006F040D"/>
    <w:rsid w:val="006F1B0B"/>
    <w:rsid w:val="006F1C1A"/>
    <w:rsid w:val="006F1D28"/>
    <w:rsid w:val="006F3A7F"/>
    <w:rsid w:val="006F4B67"/>
    <w:rsid w:val="006F4CAE"/>
    <w:rsid w:val="006F7C69"/>
    <w:rsid w:val="007000C4"/>
    <w:rsid w:val="0070069F"/>
    <w:rsid w:val="00700A13"/>
    <w:rsid w:val="00701004"/>
    <w:rsid w:val="00701375"/>
    <w:rsid w:val="00702EF3"/>
    <w:rsid w:val="00703EC3"/>
    <w:rsid w:val="0070742A"/>
    <w:rsid w:val="00707CB0"/>
    <w:rsid w:val="0071066D"/>
    <w:rsid w:val="007115B3"/>
    <w:rsid w:val="00712828"/>
    <w:rsid w:val="00717FCB"/>
    <w:rsid w:val="0072013D"/>
    <w:rsid w:val="00724700"/>
    <w:rsid w:val="007248E8"/>
    <w:rsid w:val="00726D67"/>
    <w:rsid w:val="0073016E"/>
    <w:rsid w:val="00731C67"/>
    <w:rsid w:val="00732AB1"/>
    <w:rsid w:val="007340C6"/>
    <w:rsid w:val="00736726"/>
    <w:rsid w:val="00737D26"/>
    <w:rsid w:val="007405C5"/>
    <w:rsid w:val="0074226B"/>
    <w:rsid w:val="00742290"/>
    <w:rsid w:val="0074418B"/>
    <w:rsid w:val="00744875"/>
    <w:rsid w:val="00744D1E"/>
    <w:rsid w:val="007471AC"/>
    <w:rsid w:val="0074772C"/>
    <w:rsid w:val="00747EBC"/>
    <w:rsid w:val="007517AA"/>
    <w:rsid w:val="007518C4"/>
    <w:rsid w:val="00753503"/>
    <w:rsid w:val="0075397E"/>
    <w:rsid w:val="00754D2C"/>
    <w:rsid w:val="00755F07"/>
    <w:rsid w:val="00757240"/>
    <w:rsid w:val="00760C67"/>
    <w:rsid w:val="0076211B"/>
    <w:rsid w:val="0076276F"/>
    <w:rsid w:val="00762A62"/>
    <w:rsid w:val="00762CCE"/>
    <w:rsid w:val="0076448F"/>
    <w:rsid w:val="00764C7A"/>
    <w:rsid w:val="007660D6"/>
    <w:rsid w:val="00770601"/>
    <w:rsid w:val="00770E61"/>
    <w:rsid w:val="007730C9"/>
    <w:rsid w:val="00774CC7"/>
    <w:rsid w:val="00774D69"/>
    <w:rsid w:val="007776B7"/>
    <w:rsid w:val="007800F4"/>
    <w:rsid w:val="007814B8"/>
    <w:rsid w:val="007815E4"/>
    <w:rsid w:val="00781D5F"/>
    <w:rsid w:val="00781D75"/>
    <w:rsid w:val="00782DF5"/>
    <w:rsid w:val="00791DC8"/>
    <w:rsid w:val="00793456"/>
    <w:rsid w:val="007962E7"/>
    <w:rsid w:val="00796CAF"/>
    <w:rsid w:val="00797133"/>
    <w:rsid w:val="007A0604"/>
    <w:rsid w:val="007A1DA4"/>
    <w:rsid w:val="007A1F37"/>
    <w:rsid w:val="007A22EB"/>
    <w:rsid w:val="007A3015"/>
    <w:rsid w:val="007A4CFD"/>
    <w:rsid w:val="007A68B7"/>
    <w:rsid w:val="007A6DB4"/>
    <w:rsid w:val="007A6ED0"/>
    <w:rsid w:val="007A71A5"/>
    <w:rsid w:val="007B5494"/>
    <w:rsid w:val="007B7B4A"/>
    <w:rsid w:val="007C23FC"/>
    <w:rsid w:val="007C5C73"/>
    <w:rsid w:val="007C5DE5"/>
    <w:rsid w:val="007C6054"/>
    <w:rsid w:val="007C771F"/>
    <w:rsid w:val="007C7B8F"/>
    <w:rsid w:val="007D0715"/>
    <w:rsid w:val="007D2570"/>
    <w:rsid w:val="007D3BD0"/>
    <w:rsid w:val="007D4930"/>
    <w:rsid w:val="007D59B0"/>
    <w:rsid w:val="007D5AF9"/>
    <w:rsid w:val="007D66DA"/>
    <w:rsid w:val="007D67A1"/>
    <w:rsid w:val="007D6B6F"/>
    <w:rsid w:val="007D6BB3"/>
    <w:rsid w:val="007D73BB"/>
    <w:rsid w:val="007D7635"/>
    <w:rsid w:val="007D7731"/>
    <w:rsid w:val="007D7D0E"/>
    <w:rsid w:val="007E0BC2"/>
    <w:rsid w:val="007E1A77"/>
    <w:rsid w:val="007E4038"/>
    <w:rsid w:val="007E40D7"/>
    <w:rsid w:val="007E438C"/>
    <w:rsid w:val="007E5064"/>
    <w:rsid w:val="007E6E58"/>
    <w:rsid w:val="007F0F15"/>
    <w:rsid w:val="007F13AC"/>
    <w:rsid w:val="007F200D"/>
    <w:rsid w:val="007F3928"/>
    <w:rsid w:val="007F74EE"/>
    <w:rsid w:val="00801F41"/>
    <w:rsid w:val="00802231"/>
    <w:rsid w:val="00802297"/>
    <w:rsid w:val="00802307"/>
    <w:rsid w:val="00802984"/>
    <w:rsid w:val="00802AE9"/>
    <w:rsid w:val="00802DCC"/>
    <w:rsid w:val="00803779"/>
    <w:rsid w:val="00805E45"/>
    <w:rsid w:val="008060AD"/>
    <w:rsid w:val="008070A0"/>
    <w:rsid w:val="008113E9"/>
    <w:rsid w:val="008114C4"/>
    <w:rsid w:val="008124E2"/>
    <w:rsid w:val="008127C9"/>
    <w:rsid w:val="00816355"/>
    <w:rsid w:val="00817091"/>
    <w:rsid w:val="00817334"/>
    <w:rsid w:val="00817B64"/>
    <w:rsid w:val="00822188"/>
    <w:rsid w:val="00822E7D"/>
    <w:rsid w:val="0082387A"/>
    <w:rsid w:val="00823966"/>
    <w:rsid w:val="00824265"/>
    <w:rsid w:val="00824572"/>
    <w:rsid w:val="008246F2"/>
    <w:rsid w:val="008246FD"/>
    <w:rsid w:val="00825037"/>
    <w:rsid w:val="008251D7"/>
    <w:rsid w:val="00825356"/>
    <w:rsid w:val="0082662B"/>
    <w:rsid w:val="0082786B"/>
    <w:rsid w:val="00830A8A"/>
    <w:rsid w:val="00830D27"/>
    <w:rsid w:val="0083358D"/>
    <w:rsid w:val="00833ADB"/>
    <w:rsid w:val="00833C09"/>
    <w:rsid w:val="008372BB"/>
    <w:rsid w:val="008378DC"/>
    <w:rsid w:val="008410E6"/>
    <w:rsid w:val="008417BC"/>
    <w:rsid w:val="008438C1"/>
    <w:rsid w:val="00844AB4"/>
    <w:rsid w:val="008454DA"/>
    <w:rsid w:val="00846F6B"/>
    <w:rsid w:val="00847174"/>
    <w:rsid w:val="00850AF8"/>
    <w:rsid w:val="008510B2"/>
    <w:rsid w:val="00851441"/>
    <w:rsid w:val="0085207D"/>
    <w:rsid w:val="0085245E"/>
    <w:rsid w:val="00854BBE"/>
    <w:rsid w:val="00855EE6"/>
    <w:rsid w:val="00860241"/>
    <w:rsid w:val="00860984"/>
    <w:rsid w:val="00860B4C"/>
    <w:rsid w:val="00862C14"/>
    <w:rsid w:val="0086553A"/>
    <w:rsid w:val="00866A26"/>
    <w:rsid w:val="00866F25"/>
    <w:rsid w:val="00872897"/>
    <w:rsid w:val="00873D38"/>
    <w:rsid w:val="008748C7"/>
    <w:rsid w:val="00875B14"/>
    <w:rsid w:val="00876DAA"/>
    <w:rsid w:val="00880A0E"/>
    <w:rsid w:val="0088202E"/>
    <w:rsid w:val="008830EF"/>
    <w:rsid w:val="00883C9A"/>
    <w:rsid w:val="00883D2B"/>
    <w:rsid w:val="00886274"/>
    <w:rsid w:val="00894594"/>
    <w:rsid w:val="008945D3"/>
    <w:rsid w:val="00895761"/>
    <w:rsid w:val="00895961"/>
    <w:rsid w:val="00896C79"/>
    <w:rsid w:val="008A14C5"/>
    <w:rsid w:val="008A3AEE"/>
    <w:rsid w:val="008A4548"/>
    <w:rsid w:val="008A52EF"/>
    <w:rsid w:val="008A5835"/>
    <w:rsid w:val="008A59EE"/>
    <w:rsid w:val="008A5BDC"/>
    <w:rsid w:val="008A68B3"/>
    <w:rsid w:val="008B04C6"/>
    <w:rsid w:val="008B1B0C"/>
    <w:rsid w:val="008B2101"/>
    <w:rsid w:val="008B3A17"/>
    <w:rsid w:val="008B3EE1"/>
    <w:rsid w:val="008B4BF6"/>
    <w:rsid w:val="008B649D"/>
    <w:rsid w:val="008B7B3C"/>
    <w:rsid w:val="008C1877"/>
    <w:rsid w:val="008C3551"/>
    <w:rsid w:val="008C6D9A"/>
    <w:rsid w:val="008C7561"/>
    <w:rsid w:val="008C7B65"/>
    <w:rsid w:val="008D3462"/>
    <w:rsid w:val="008D4DE9"/>
    <w:rsid w:val="008D5C2B"/>
    <w:rsid w:val="008E1115"/>
    <w:rsid w:val="008E2A9F"/>
    <w:rsid w:val="008E4A94"/>
    <w:rsid w:val="008E5CC2"/>
    <w:rsid w:val="008E7C7B"/>
    <w:rsid w:val="008F0D28"/>
    <w:rsid w:val="008F2572"/>
    <w:rsid w:val="008F3BCB"/>
    <w:rsid w:val="008F488C"/>
    <w:rsid w:val="008F6236"/>
    <w:rsid w:val="008F6352"/>
    <w:rsid w:val="008F68AD"/>
    <w:rsid w:val="008F6F73"/>
    <w:rsid w:val="008F72F0"/>
    <w:rsid w:val="009016DC"/>
    <w:rsid w:val="00901763"/>
    <w:rsid w:val="00902B71"/>
    <w:rsid w:val="00903E6D"/>
    <w:rsid w:val="00905AF2"/>
    <w:rsid w:val="00905B1A"/>
    <w:rsid w:val="009060AF"/>
    <w:rsid w:val="00906A0A"/>
    <w:rsid w:val="00906A95"/>
    <w:rsid w:val="00906C03"/>
    <w:rsid w:val="0090700E"/>
    <w:rsid w:val="0090794D"/>
    <w:rsid w:val="00907AD7"/>
    <w:rsid w:val="009131BD"/>
    <w:rsid w:val="0091362D"/>
    <w:rsid w:val="009147E0"/>
    <w:rsid w:val="009153DC"/>
    <w:rsid w:val="009160B5"/>
    <w:rsid w:val="0091711A"/>
    <w:rsid w:val="0091791E"/>
    <w:rsid w:val="0092003D"/>
    <w:rsid w:val="00921C32"/>
    <w:rsid w:val="009229F3"/>
    <w:rsid w:val="00922FBA"/>
    <w:rsid w:val="0092619E"/>
    <w:rsid w:val="00927514"/>
    <w:rsid w:val="00930937"/>
    <w:rsid w:val="009322CA"/>
    <w:rsid w:val="009350CA"/>
    <w:rsid w:val="00935124"/>
    <w:rsid w:val="00943F57"/>
    <w:rsid w:val="0094482A"/>
    <w:rsid w:val="00946CCA"/>
    <w:rsid w:val="00950923"/>
    <w:rsid w:val="00950C9A"/>
    <w:rsid w:val="00950DE0"/>
    <w:rsid w:val="00951685"/>
    <w:rsid w:val="00951809"/>
    <w:rsid w:val="00952D89"/>
    <w:rsid w:val="00954289"/>
    <w:rsid w:val="00954478"/>
    <w:rsid w:val="00954CF3"/>
    <w:rsid w:val="00955EEB"/>
    <w:rsid w:val="009562DE"/>
    <w:rsid w:val="00957DAD"/>
    <w:rsid w:val="00960A67"/>
    <w:rsid w:val="0096262D"/>
    <w:rsid w:val="00964AEC"/>
    <w:rsid w:val="00964F82"/>
    <w:rsid w:val="009658CD"/>
    <w:rsid w:val="00966457"/>
    <w:rsid w:val="009665BB"/>
    <w:rsid w:val="0096712A"/>
    <w:rsid w:val="0097001D"/>
    <w:rsid w:val="00972AA0"/>
    <w:rsid w:val="00973AA1"/>
    <w:rsid w:val="0097638D"/>
    <w:rsid w:val="00976AEC"/>
    <w:rsid w:val="00977643"/>
    <w:rsid w:val="00982973"/>
    <w:rsid w:val="00983335"/>
    <w:rsid w:val="00983EA7"/>
    <w:rsid w:val="009860D7"/>
    <w:rsid w:val="009866FA"/>
    <w:rsid w:val="009869F9"/>
    <w:rsid w:val="00986C3D"/>
    <w:rsid w:val="00990872"/>
    <w:rsid w:val="00991444"/>
    <w:rsid w:val="00991D55"/>
    <w:rsid w:val="00993ADD"/>
    <w:rsid w:val="009947B5"/>
    <w:rsid w:val="009960C0"/>
    <w:rsid w:val="00996814"/>
    <w:rsid w:val="00996A24"/>
    <w:rsid w:val="009979AA"/>
    <w:rsid w:val="00997F96"/>
    <w:rsid w:val="009A0DF5"/>
    <w:rsid w:val="009A232E"/>
    <w:rsid w:val="009A2CA8"/>
    <w:rsid w:val="009A35DB"/>
    <w:rsid w:val="009A37BC"/>
    <w:rsid w:val="009A38F3"/>
    <w:rsid w:val="009A752F"/>
    <w:rsid w:val="009B03BE"/>
    <w:rsid w:val="009B0A21"/>
    <w:rsid w:val="009B1652"/>
    <w:rsid w:val="009B1A2F"/>
    <w:rsid w:val="009B2BD6"/>
    <w:rsid w:val="009B2EE6"/>
    <w:rsid w:val="009B3580"/>
    <w:rsid w:val="009B471A"/>
    <w:rsid w:val="009B5A8D"/>
    <w:rsid w:val="009C01C1"/>
    <w:rsid w:val="009C1AFC"/>
    <w:rsid w:val="009C2287"/>
    <w:rsid w:val="009C280C"/>
    <w:rsid w:val="009C3263"/>
    <w:rsid w:val="009C3D80"/>
    <w:rsid w:val="009C4C7C"/>
    <w:rsid w:val="009C4CEE"/>
    <w:rsid w:val="009C544D"/>
    <w:rsid w:val="009C5991"/>
    <w:rsid w:val="009C66A0"/>
    <w:rsid w:val="009D2828"/>
    <w:rsid w:val="009D2EC7"/>
    <w:rsid w:val="009D301F"/>
    <w:rsid w:val="009D3782"/>
    <w:rsid w:val="009D4482"/>
    <w:rsid w:val="009D651D"/>
    <w:rsid w:val="009D7E6D"/>
    <w:rsid w:val="009E3C6D"/>
    <w:rsid w:val="009E43F5"/>
    <w:rsid w:val="009E51D2"/>
    <w:rsid w:val="009E5865"/>
    <w:rsid w:val="009E5D1D"/>
    <w:rsid w:val="009E5FB0"/>
    <w:rsid w:val="009E7879"/>
    <w:rsid w:val="00A00F19"/>
    <w:rsid w:val="00A01096"/>
    <w:rsid w:val="00A01182"/>
    <w:rsid w:val="00A020AF"/>
    <w:rsid w:val="00A023B8"/>
    <w:rsid w:val="00A04B6C"/>
    <w:rsid w:val="00A0507B"/>
    <w:rsid w:val="00A05919"/>
    <w:rsid w:val="00A05E0E"/>
    <w:rsid w:val="00A10D1F"/>
    <w:rsid w:val="00A12069"/>
    <w:rsid w:val="00A1252F"/>
    <w:rsid w:val="00A13679"/>
    <w:rsid w:val="00A13BCB"/>
    <w:rsid w:val="00A156D9"/>
    <w:rsid w:val="00A17D98"/>
    <w:rsid w:val="00A209CB"/>
    <w:rsid w:val="00A20BFE"/>
    <w:rsid w:val="00A21A4E"/>
    <w:rsid w:val="00A24313"/>
    <w:rsid w:val="00A2472E"/>
    <w:rsid w:val="00A25278"/>
    <w:rsid w:val="00A25831"/>
    <w:rsid w:val="00A26C93"/>
    <w:rsid w:val="00A304DA"/>
    <w:rsid w:val="00A31C24"/>
    <w:rsid w:val="00A31D85"/>
    <w:rsid w:val="00A32676"/>
    <w:rsid w:val="00A33796"/>
    <w:rsid w:val="00A33AF0"/>
    <w:rsid w:val="00A34F33"/>
    <w:rsid w:val="00A34F9C"/>
    <w:rsid w:val="00A4000A"/>
    <w:rsid w:val="00A40675"/>
    <w:rsid w:val="00A4250F"/>
    <w:rsid w:val="00A42898"/>
    <w:rsid w:val="00A47C4E"/>
    <w:rsid w:val="00A515C9"/>
    <w:rsid w:val="00A54182"/>
    <w:rsid w:val="00A54852"/>
    <w:rsid w:val="00A552B6"/>
    <w:rsid w:val="00A56CB3"/>
    <w:rsid w:val="00A628F9"/>
    <w:rsid w:val="00A64D2F"/>
    <w:rsid w:val="00A66AD0"/>
    <w:rsid w:val="00A67753"/>
    <w:rsid w:val="00A702C5"/>
    <w:rsid w:val="00A71FE8"/>
    <w:rsid w:val="00A73A8F"/>
    <w:rsid w:val="00A73AD7"/>
    <w:rsid w:val="00A74091"/>
    <w:rsid w:val="00A81827"/>
    <w:rsid w:val="00A8375B"/>
    <w:rsid w:val="00A83C01"/>
    <w:rsid w:val="00A86ED2"/>
    <w:rsid w:val="00A877EE"/>
    <w:rsid w:val="00A90D41"/>
    <w:rsid w:val="00A91316"/>
    <w:rsid w:val="00A947D7"/>
    <w:rsid w:val="00A94AB9"/>
    <w:rsid w:val="00A95D9F"/>
    <w:rsid w:val="00A9701F"/>
    <w:rsid w:val="00AA09B1"/>
    <w:rsid w:val="00AA3777"/>
    <w:rsid w:val="00AA389B"/>
    <w:rsid w:val="00AA4F0B"/>
    <w:rsid w:val="00AA51C2"/>
    <w:rsid w:val="00AA5742"/>
    <w:rsid w:val="00AA5A1C"/>
    <w:rsid w:val="00AA67DE"/>
    <w:rsid w:val="00AB06EE"/>
    <w:rsid w:val="00AB2BEE"/>
    <w:rsid w:val="00AB3FB1"/>
    <w:rsid w:val="00AB4569"/>
    <w:rsid w:val="00AB4BB9"/>
    <w:rsid w:val="00AB605D"/>
    <w:rsid w:val="00AB76C9"/>
    <w:rsid w:val="00AB7C07"/>
    <w:rsid w:val="00AC0A52"/>
    <w:rsid w:val="00AC121D"/>
    <w:rsid w:val="00AC24C7"/>
    <w:rsid w:val="00AC2B26"/>
    <w:rsid w:val="00AC6929"/>
    <w:rsid w:val="00AC6D6D"/>
    <w:rsid w:val="00AC721D"/>
    <w:rsid w:val="00AD79A4"/>
    <w:rsid w:val="00AE0220"/>
    <w:rsid w:val="00AE0D98"/>
    <w:rsid w:val="00AE1B45"/>
    <w:rsid w:val="00AE1E18"/>
    <w:rsid w:val="00AE3245"/>
    <w:rsid w:val="00AE38AA"/>
    <w:rsid w:val="00AE3EAF"/>
    <w:rsid w:val="00AE4A70"/>
    <w:rsid w:val="00AE511A"/>
    <w:rsid w:val="00AE6C3E"/>
    <w:rsid w:val="00AE6CE3"/>
    <w:rsid w:val="00AE7D4C"/>
    <w:rsid w:val="00AF0C3C"/>
    <w:rsid w:val="00AF2072"/>
    <w:rsid w:val="00AF489F"/>
    <w:rsid w:val="00AF655B"/>
    <w:rsid w:val="00AF6DDC"/>
    <w:rsid w:val="00AF70C3"/>
    <w:rsid w:val="00B00662"/>
    <w:rsid w:val="00B044BC"/>
    <w:rsid w:val="00B045DC"/>
    <w:rsid w:val="00B11CA3"/>
    <w:rsid w:val="00B1326F"/>
    <w:rsid w:val="00B13FD7"/>
    <w:rsid w:val="00B160F9"/>
    <w:rsid w:val="00B16A98"/>
    <w:rsid w:val="00B20CD6"/>
    <w:rsid w:val="00B219B7"/>
    <w:rsid w:val="00B233F6"/>
    <w:rsid w:val="00B25D04"/>
    <w:rsid w:val="00B26266"/>
    <w:rsid w:val="00B26586"/>
    <w:rsid w:val="00B26BA9"/>
    <w:rsid w:val="00B277B8"/>
    <w:rsid w:val="00B278B3"/>
    <w:rsid w:val="00B27AD6"/>
    <w:rsid w:val="00B27B8B"/>
    <w:rsid w:val="00B30BBC"/>
    <w:rsid w:val="00B314AE"/>
    <w:rsid w:val="00B31B2B"/>
    <w:rsid w:val="00B31D73"/>
    <w:rsid w:val="00B32170"/>
    <w:rsid w:val="00B4097D"/>
    <w:rsid w:val="00B426DE"/>
    <w:rsid w:val="00B4476B"/>
    <w:rsid w:val="00B44BF2"/>
    <w:rsid w:val="00B45506"/>
    <w:rsid w:val="00B46F63"/>
    <w:rsid w:val="00B54A31"/>
    <w:rsid w:val="00B55A76"/>
    <w:rsid w:val="00B55BA3"/>
    <w:rsid w:val="00B56CD9"/>
    <w:rsid w:val="00B572BE"/>
    <w:rsid w:val="00B61568"/>
    <w:rsid w:val="00B61F96"/>
    <w:rsid w:val="00B62048"/>
    <w:rsid w:val="00B62FF4"/>
    <w:rsid w:val="00B636C1"/>
    <w:rsid w:val="00B63DCB"/>
    <w:rsid w:val="00B641D7"/>
    <w:rsid w:val="00B64289"/>
    <w:rsid w:val="00B66AEE"/>
    <w:rsid w:val="00B70054"/>
    <w:rsid w:val="00B707BF"/>
    <w:rsid w:val="00B7345E"/>
    <w:rsid w:val="00B73F82"/>
    <w:rsid w:val="00B74A10"/>
    <w:rsid w:val="00B753DC"/>
    <w:rsid w:val="00B7709B"/>
    <w:rsid w:val="00B8543E"/>
    <w:rsid w:val="00B85942"/>
    <w:rsid w:val="00B85AA0"/>
    <w:rsid w:val="00B8661E"/>
    <w:rsid w:val="00B86827"/>
    <w:rsid w:val="00B872A1"/>
    <w:rsid w:val="00B934F3"/>
    <w:rsid w:val="00B95F4F"/>
    <w:rsid w:val="00B97A79"/>
    <w:rsid w:val="00B97D4B"/>
    <w:rsid w:val="00BA0439"/>
    <w:rsid w:val="00BA1DE3"/>
    <w:rsid w:val="00BA1E31"/>
    <w:rsid w:val="00BA4F5E"/>
    <w:rsid w:val="00BA6C45"/>
    <w:rsid w:val="00BA7CD4"/>
    <w:rsid w:val="00BB1D46"/>
    <w:rsid w:val="00BB652B"/>
    <w:rsid w:val="00BB6D41"/>
    <w:rsid w:val="00BC04A5"/>
    <w:rsid w:val="00BC18C8"/>
    <w:rsid w:val="00BC2308"/>
    <w:rsid w:val="00BC2FA6"/>
    <w:rsid w:val="00BC5AEB"/>
    <w:rsid w:val="00BC726C"/>
    <w:rsid w:val="00BD0BE0"/>
    <w:rsid w:val="00BD0EBB"/>
    <w:rsid w:val="00BD2315"/>
    <w:rsid w:val="00BD3144"/>
    <w:rsid w:val="00BD4E5C"/>
    <w:rsid w:val="00BD58CC"/>
    <w:rsid w:val="00BD60A7"/>
    <w:rsid w:val="00BD67D7"/>
    <w:rsid w:val="00BD68FF"/>
    <w:rsid w:val="00BD701A"/>
    <w:rsid w:val="00BD7CB7"/>
    <w:rsid w:val="00BE07A4"/>
    <w:rsid w:val="00BE1A04"/>
    <w:rsid w:val="00BE1B4A"/>
    <w:rsid w:val="00BE20E6"/>
    <w:rsid w:val="00BE218A"/>
    <w:rsid w:val="00BE2C7A"/>
    <w:rsid w:val="00BE320A"/>
    <w:rsid w:val="00BE366E"/>
    <w:rsid w:val="00BE3AEB"/>
    <w:rsid w:val="00BE4377"/>
    <w:rsid w:val="00BE44A4"/>
    <w:rsid w:val="00BE7266"/>
    <w:rsid w:val="00BE7A0A"/>
    <w:rsid w:val="00BF011B"/>
    <w:rsid w:val="00BF118C"/>
    <w:rsid w:val="00BF2201"/>
    <w:rsid w:val="00BF3188"/>
    <w:rsid w:val="00BF616E"/>
    <w:rsid w:val="00BF7125"/>
    <w:rsid w:val="00C0138A"/>
    <w:rsid w:val="00C014A7"/>
    <w:rsid w:val="00C01D71"/>
    <w:rsid w:val="00C02719"/>
    <w:rsid w:val="00C027DD"/>
    <w:rsid w:val="00C0456F"/>
    <w:rsid w:val="00C06996"/>
    <w:rsid w:val="00C06A78"/>
    <w:rsid w:val="00C07B6F"/>
    <w:rsid w:val="00C107DF"/>
    <w:rsid w:val="00C14FD0"/>
    <w:rsid w:val="00C1751D"/>
    <w:rsid w:val="00C17D18"/>
    <w:rsid w:val="00C21D65"/>
    <w:rsid w:val="00C24DCE"/>
    <w:rsid w:val="00C255FD"/>
    <w:rsid w:val="00C25E12"/>
    <w:rsid w:val="00C26847"/>
    <w:rsid w:val="00C3082E"/>
    <w:rsid w:val="00C32ED8"/>
    <w:rsid w:val="00C33316"/>
    <w:rsid w:val="00C33320"/>
    <w:rsid w:val="00C3775C"/>
    <w:rsid w:val="00C43E45"/>
    <w:rsid w:val="00C456E5"/>
    <w:rsid w:val="00C45DF1"/>
    <w:rsid w:val="00C45F84"/>
    <w:rsid w:val="00C47375"/>
    <w:rsid w:val="00C47506"/>
    <w:rsid w:val="00C509CE"/>
    <w:rsid w:val="00C50D04"/>
    <w:rsid w:val="00C5106D"/>
    <w:rsid w:val="00C514B6"/>
    <w:rsid w:val="00C52BBF"/>
    <w:rsid w:val="00C52F3C"/>
    <w:rsid w:val="00C534F2"/>
    <w:rsid w:val="00C53955"/>
    <w:rsid w:val="00C539EE"/>
    <w:rsid w:val="00C53A89"/>
    <w:rsid w:val="00C555DB"/>
    <w:rsid w:val="00C55CE1"/>
    <w:rsid w:val="00C56B69"/>
    <w:rsid w:val="00C57F0D"/>
    <w:rsid w:val="00C60099"/>
    <w:rsid w:val="00C65F89"/>
    <w:rsid w:val="00C66139"/>
    <w:rsid w:val="00C66503"/>
    <w:rsid w:val="00C66961"/>
    <w:rsid w:val="00C67A88"/>
    <w:rsid w:val="00C700E1"/>
    <w:rsid w:val="00C7282F"/>
    <w:rsid w:val="00C72F79"/>
    <w:rsid w:val="00C74570"/>
    <w:rsid w:val="00C76A13"/>
    <w:rsid w:val="00C77306"/>
    <w:rsid w:val="00C77FED"/>
    <w:rsid w:val="00C80962"/>
    <w:rsid w:val="00C82479"/>
    <w:rsid w:val="00C8301F"/>
    <w:rsid w:val="00C83077"/>
    <w:rsid w:val="00C83D98"/>
    <w:rsid w:val="00C850D9"/>
    <w:rsid w:val="00C868F6"/>
    <w:rsid w:val="00C877F4"/>
    <w:rsid w:val="00C87F6C"/>
    <w:rsid w:val="00C91454"/>
    <w:rsid w:val="00C91CD4"/>
    <w:rsid w:val="00C92834"/>
    <w:rsid w:val="00C93CB0"/>
    <w:rsid w:val="00C94265"/>
    <w:rsid w:val="00C94371"/>
    <w:rsid w:val="00C94849"/>
    <w:rsid w:val="00C95D97"/>
    <w:rsid w:val="00C96CCE"/>
    <w:rsid w:val="00CA114B"/>
    <w:rsid w:val="00CA19BC"/>
    <w:rsid w:val="00CA1F2C"/>
    <w:rsid w:val="00CA2655"/>
    <w:rsid w:val="00CA4BA1"/>
    <w:rsid w:val="00CA615B"/>
    <w:rsid w:val="00CA6607"/>
    <w:rsid w:val="00CA68C9"/>
    <w:rsid w:val="00CA762F"/>
    <w:rsid w:val="00CA77C9"/>
    <w:rsid w:val="00CA79F9"/>
    <w:rsid w:val="00CB24ED"/>
    <w:rsid w:val="00CB4AF4"/>
    <w:rsid w:val="00CB4E4B"/>
    <w:rsid w:val="00CB53C9"/>
    <w:rsid w:val="00CB655D"/>
    <w:rsid w:val="00CB70DF"/>
    <w:rsid w:val="00CB7467"/>
    <w:rsid w:val="00CB748F"/>
    <w:rsid w:val="00CC1FAE"/>
    <w:rsid w:val="00CC5CD5"/>
    <w:rsid w:val="00CC5F82"/>
    <w:rsid w:val="00CC7C74"/>
    <w:rsid w:val="00CD216F"/>
    <w:rsid w:val="00CD2DDF"/>
    <w:rsid w:val="00CD44A7"/>
    <w:rsid w:val="00CD5BC5"/>
    <w:rsid w:val="00CD5C56"/>
    <w:rsid w:val="00CD6C36"/>
    <w:rsid w:val="00CE64A9"/>
    <w:rsid w:val="00CE68A6"/>
    <w:rsid w:val="00CF6F14"/>
    <w:rsid w:val="00D01D05"/>
    <w:rsid w:val="00D04281"/>
    <w:rsid w:val="00D0540F"/>
    <w:rsid w:val="00D1000D"/>
    <w:rsid w:val="00D1061F"/>
    <w:rsid w:val="00D131A2"/>
    <w:rsid w:val="00D13710"/>
    <w:rsid w:val="00D15953"/>
    <w:rsid w:val="00D171D3"/>
    <w:rsid w:val="00D17CC7"/>
    <w:rsid w:val="00D22BBD"/>
    <w:rsid w:val="00D23C6B"/>
    <w:rsid w:val="00D264BE"/>
    <w:rsid w:val="00D26A39"/>
    <w:rsid w:val="00D303BC"/>
    <w:rsid w:val="00D32147"/>
    <w:rsid w:val="00D32882"/>
    <w:rsid w:val="00D34165"/>
    <w:rsid w:val="00D349E1"/>
    <w:rsid w:val="00D34DE7"/>
    <w:rsid w:val="00D34EF3"/>
    <w:rsid w:val="00D35AED"/>
    <w:rsid w:val="00D3674B"/>
    <w:rsid w:val="00D42205"/>
    <w:rsid w:val="00D43765"/>
    <w:rsid w:val="00D43F9D"/>
    <w:rsid w:val="00D45432"/>
    <w:rsid w:val="00D51F11"/>
    <w:rsid w:val="00D52E27"/>
    <w:rsid w:val="00D54A0A"/>
    <w:rsid w:val="00D56F41"/>
    <w:rsid w:val="00D5724D"/>
    <w:rsid w:val="00D57F65"/>
    <w:rsid w:val="00D62284"/>
    <w:rsid w:val="00D64080"/>
    <w:rsid w:val="00D640BB"/>
    <w:rsid w:val="00D669B5"/>
    <w:rsid w:val="00D66D2D"/>
    <w:rsid w:val="00D67F86"/>
    <w:rsid w:val="00D702DA"/>
    <w:rsid w:val="00D70B8D"/>
    <w:rsid w:val="00D71395"/>
    <w:rsid w:val="00D72227"/>
    <w:rsid w:val="00D726FD"/>
    <w:rsid w:val="00D732F4"/>
    <w:rsid w:val="00D74C19"/>
    <w:rsid w:val="00D768E9"/>
    <w:rsid w:val="00D774AC"/>
    <w:rsid w:val="00D83F77"/>
    <w:rsid w:val="00D84CE3"/>
    <w:rsid w:val="00D850BC"/>
    <w:rsid w:val="00D8719B"/>
    <w:rsid w:val="00D87A1F"/>
    <w:rsid w:val="00D87E73"/>
    <w:rsid w:val="00D90CC4"/>
    <w:rsid w:val="00D92569"/>
    <w:rsid w:val="00D92D22"/>
    <w:rsid w:val="00D95F4B"/>
    <w:rsid w:val="00DA0207"/>
    <w:rsid w:val="00DA0AA0"/>
    <w:rsid w:val="00DA20DB"/>
    <w:rsid w:val="00DA743C"/>
    <w:rsid w:val="00DA7DC0"/>
    <w:rsid w:val="00DB1554"/>
    <w:rsid w:val="00DB464F"/>
    <w:rsid w:val="00DB5682"/>
    <w:rsid w:val="00DB5726"/>
    <w:rsid w:val="00DB5F7D"/>
    <w:rsid w:val="00DB5FC3"/>
    <w:rsid w:val="00DB7323"/>
    <w:rsid w:val="00DC6C37"/>
    <w:rsid w:val="00DD1829"/>
    <w:rsid w:val="00DD5511"/>
    <w:rsid w:val="00DD7716"/>
    <w:rsid w:val="00DD786C"/>
    <w:rsid w:val="00DD79C2"/>
    <w:rsid w:val="00DD7E74"/>
    <w:rsid w:val="00DE380E"/>
    <w:rsid w:val="00DE48AC"/>
    <w:rsid w:val="00DE55F4"/>
    <w:rsid w:val="00DE7E7F"/>
    <w:rsid w:val="00DF0851"/>
    <w:rsid w:val="00DF088C"/>
    <w:rsid w:val="00DF11E2"/>
    <w:rsid w:val="00DF1579"/>
    <w:rsid w:val="00DF178B"/>
    <w:rsid w:val="00DF286C"/>
    <w:rsid w:val="00DF3A3C"/>
    <w:rsid w:val="00DF657D"/>
    <w:rsid w:val="00E00416"/>
    <w:rsid w:val="00E009F1"/>
    <w:rsid w:val="00E0266E"/>
    <w:rsid w:val="00E03485"/>
    <w:rsid w:val="00E04A7A"/>
    <w:rsid w:val="00E065D4"/>
    <w:rsid w:val="00E0697A"/>
    <w:rsid w:val="00E07B81"/>
    <w:rsid w:val="00E07CED"/>
    <w:rsid w:val="00E121C4"/>
    <w:rsid w:val="00E12420"/>
    <w:rsid w:val="00E1393E"/>
    <w:rsid w:val="00E13B85"/>
    <w:rsid w:val="00E14C9B"/>
    <w:rsid w:val="00E14F1B"/>
    <w:rsid w:val="00E219BF"/>
    <w:rsid w:val="00E22B2B"/>
    <w:rsid w:val="00E23A8A"/>
    <w:rsid w:val="00E256E3"/>
    <w:rsid w:val="00E26791"/>
    <w:rsid w:val="00E267EA"/>
    <w:rsid w:val="00E26E32"/>
    <w:rsid w:val="00E26E77"/>
    <w:rsid w:val="00E302B6"/>
    <w:rsid w:val="00E306D4"/>
    <w:rsid w:val="00E30FDC"/>
    <w:rsid w:val="00E3184D"/>
    <w:rsid w:val="00E3186D"/>
    <w:rsid w:val="00E322FB"/>
    <w:rsid w:val="00E3297D"/>
    <w:rsid w:val="00E3754E"/>
    <w:rsid w:val="00E37853"/>
    <w:rsid w:val="00E402B5"/>
    <w:rsid w:val="00E4061E"/>
    <w:rsid w:val="00E44FCD"/>
    <w:rsid w:val="00E47DEA"/>
    <w:rsid w:val="00E511B3"/>
    <w:rsid w:val="00E5127D"/>
    <w:rsid w:val="00E52099"/>
    <w:rsid w:val="00E5284A"/>
    <w:rsid w:val="00E542BB"/>
    <w:rsid w:val="00E554E4"/>
    <w:rsid w:val="00E5560E"/>
    <w:rsid w:val="00E556DB"/>
    <w:rsid w:val="00E55AD0"/>
    <w:rsid w:val="00E5608C"/>
    <w:rsid w:val="00E57575"/>
    <w:rsid w:val="00E60ABE"/>
    <w:rsid w:val="00E61D36"/>
    <w:rsid w:val="00E62646"/>
    <w:rsid w:val="00E66EB2"/>
    <w:rsid w:val="00E71FD8"/>
    <w:rsid w:val="00E740E2"/>
    <w:rsid w:val="00E74C9E"/>
    <w:rsid w:val="00E76697"/>
    <w:rsid w:val="00E8082D"/>
    <w:rsid w:val="00E83188"/>
    <w:rsid w:val="00E84137"/>
    <w:rsid w:val="00E85CF7"/>
    <w:rsid w:val="00E9010D"/>
    <w:rsid w:val="00E914F2"/>
    <w:rsid w:val="00E91D39"/>
    <w:rsid w:val="00E91F47"/>
    <w:rsid w:val="00E926C9"/>
    <w:rsid w:val="00E927F9"/>
    <w:rsid w:val="00E94DC3"/>
    <w:rsid w:val="00E9562E"/>
    <w:rsid w:val="00E967EE"/>
    <w:rsid w:val="00EA011A"/>
    <w:rsid w:val="00EA10C8"/>
    <w:rsid w:val="00EA1138"/>
    <w:rsid w:val="00EA1A26"/>
    <w:rsid w:val="00EA3197"/>
    <w:rsid w:val="00EA3596"/>
    <w:rsid w:val="00EA3CB1"/>
    <w:rsid w:val="00EA4277"/>
    <w:rsid w:val="00EA61D1"/>
    <w:rsid w:val="00EA62DE"/>
    <w:rsid w:val="00EB224D"/>
    <w:rsid w:val="00EB4B1E"/>
    <w:rsid w:val="00EB5667"/>
    <w:rsid w:val="00EC07A1"/>
    <w:rsid w:val="00EC33B1"/>
    <w:rsid w:val="00EC3AD2"/>
    <w:rsid w:val="00EC4434"/>
    <w:rsid w:val="00EC4D55"/>
    <w:rsid w:val="00EC557E"/>
    <w:rsid w:val="00EC740F"/>
    <w:rsid w:val="00ED088E"/>
    <w:rsid w:val="00ED0FBF"/>
    <w:rsid w:val="00ED2FD1"/>
    <w:rsid w:val="00ED3ACF"/>
    <w:rsid w:val="00ED64D2"/>
    <w:rsid w:val="00EE2654"/>
    <w:rsid w:val="00EE3A9B"/>
    <w:rsid w:val="00EE6E05"/>
    <w:rsid w:val="00EE7AC0"/>
    <w:rsid w:val="00EF0795"/>
    <w:rsid w:val="00EF0D54"/>
    <w:rsid w:val="00EF5F81"/>
    <w:rsid w:val="00EF6BD1"/>
    <w:rsid w:val="00F022D7"/>
    <w:rsid w:val="00F024F3"/>
    <w:rsid w:val="00F03784"/>
    <w:rsid w:val="00F0482F"/>
    <w:rsid w:val="00F048C2"/>
    <w:rsid w:val="00F04EE8"/>
    <w:rsid w:val="00F05387"/>
    <w:rsid w:val="00F058A1"/>
    <w:rsid w:val="00F05EC5"/>
    <w:rsid w:val="00F06954"/>
    <w:rsid w:val="00F06A4B"/>
    <w:rsid w:val="00F1007B"/>
    <w:rsid w:val="00F10CA9"/>
    <w:rsid w:val="00F12EB6"/>
    <w:rsid w:val="00F1459F"/>
    <w:rsid w:val="00F1471B"/>
    <w:rsid w:val="00F14F52"/>
    <w:rsid w:val="00F15D15"/>
    <w:rsid w:val="00F15D8B"/>
    <w:rsid w:val="00F20A4B"/>
    <w:rsid w:val="00F21CC0"/>
    <w:rsid w:val="00F221AF"/>
    <w:rsid w:val="00F24218"/>
    <w:rsid w:val="00F250F6"/>
    <w:rsid w:val="00F25989"/>
    <w:rsid w:val="00F2699B"/>
    <w:rsid w:val="00F26A86"/>
    <w:rsid w:val="00F271B3"/>
    <w:rsid w:val="00F272BE"/>
    <w:rsid w:val="00F275EC"/>
    <w:rsid w:val="00F27F49"/>
    <w:rsid w:val="00F319E5"/>
    <w:rsid w:val="00F33086"/>
    <w:rsid w:val="00F343D5"/>
    <w:rsid w:val="00F35BFE"/>
    <w:rsid w:val="00F36DA0"/>
    <w:rsid w:val="00F4194C"/>
    <w:rsid w:val="00F428C4"/>
    <w:rsid w:val="00F43163"/>
    <w:rsid w:val="00F441E6"/>
    <w:rsid w:val="00F44331"/>
    <w:rsid w:val="00F44C09"/>
    <w:rsid w:val="00F501E3"/>
    <w:rsid w:val="00F509A7"/>
    <w:rsid w:val="00F5185F"/>
    <w:rsid w:val="00F518F3"/>
    <w:rsid w:val="00F53346"/>
    <w:rsid w:val="00F56F18"/>
    <w:rsid w:val="00F57F85"/>
    <w:rsid w:val="00F6024E"/>
    <w:rsid w:val="00F6082F"/>
    <w:rsid w:val="00F6086C"/>
    <w:rsid w:val="00F61E4B"/>
    <w:rsid w:val="00F63378"/>
    <w:rsid w:val="00F63798"/>
    <w:rsid w:val="00F66D9A"/>
    <w:rsid w:val="00F66E97"/>
    <w:rsid w:val="00F67338"/>
    <w:rsid w:val="00F67488"/>
    <w:rsid w:val="00F67A1A"/>
    <w:rsid w:val="00F708BC"/>
    <w:rsid w:val="00F71A13"/>
    <w:rsid w:val="00F71F9A"/>
    <w:rsid w:val="00F724CC"/>
    <w:rsid w:val="00F72503"/>
    <w:rsid w:val="00F7294E"/>
    <w:rsid w:val="00F72C54"/>
    <w:rsid w:val="00F72CDB"/>
    <w:rsid w:val="00F73A79"/>
    <w:rsid w:val="00F73C8C"/>
    <w:rsid w:val="00F75056"/>
    <w:rsid w:val="00F753B5"/>
    <w:rsid w:val="00F75846"/>
    <w:rsid w:val="00F76964"/>
    <w:rsid w:val="00F77A14"/>
    <w:rsid w:val="00F77D2A"/>
    <w:rsid w:val="00F82965"/>
    <w:rsid w:val="00F82D51"/>
    <w:rsid w:val="00F832A1"/>
    <w:rsid w:val="00F84E4C"/>
    <w:rsid w:val="00F8516E"/>
    <w:rsid w:val="00F902EA"/>
    <w:rsid w:val="00F90E8D"/>
    <w:rsid w:val="00F91273"/>
    <w:rsid w:val="00F91A7D"/>
    <w:rsid w:val="00F92632"/>
    <w:rsid w:val="00F932ED"/>
    <w:rsid w:val="00F938BE"/>
    <w:rsid w:val="00F939B5"/>
    <w:rsid w:val="00F947AD"/>
    <w:rsid w:val="00F952AF"/>
    <w:rsid w:val="00F95A09"/>
    <w:rsid w:val="00FA07FB"/>
    <w:rsid w:val="00FA087F"/>
    <w:rsid w:val="00FA0AF2"/>
    <w:rsid w:val="00FA4634"/>
    <w:rsid w:val="00FA5920"/>
    <w:rsid w:val="00FA6DB4"/>
    <w:rsid w:val="00FA7F64"/>
    <w:rsid w:val="00FB157E"/>
    <w:rsid w:val="00FB1B9F"/>
    <w:rsid w:val="00FB2C65"/>
    <w:rsid w:val="00FB3254"/>
    <w:rsid w:val="00FB3A6D"/>
    <w:rsid w:val="00FB6813"/>
    <w:rsid w:val="00FC068D"/>
    <w:rsid w:val="00FC16B6"/>
    <w:rsid w:val="00FC35F4"/>
    <w:rsid w:val="00FC3F7E"/>
    <w:rsid w:val="00FC5BD4"/>
    <w:rsid w:val="00FC6393"/>
    <w:rsid w:val="00FC735E"/>
    <w:rsid w:val="00FD1628"/>
    <w:rsid w:val="00FD2A31"/>
    <w:rsid w:val="00FD3BF7"/>
    <w:rsid w:val="00FD6F42"/>
    <w:rsid w:val="00FD728A"/>
    <w:rsid w:val="00FD7919"/>
    <w:rsid w:val="00FD7E59"/>
    <w:rsid w:val="00FE10CD"/>
    <w:rsid w:val="00FE3284"/>
    <w:rsid w:val="00FE344A"/>
    <w:rsid w:val="00FE35E1"/>
    <w:rsid w:val="00FE36C1"/>
    <w:rsid w:val="00FE3FB1"/>
    <w:rsid w:val="00FE74E4"/>
    <w:rsid w:val="00FF1587"/>
    <w:rsid w:val="00FF1FCD"/>
    <w:rsid w:val="00FF47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16DC"/>
    <w:pPr>
      <w:widowControl w:val="0"/>
      <w:jc w:val="both"/>
    </w:pPr>
    <w:rPr>
      <w:kern w:val="2"/>
      <w:sz w:val="24"/>
      <w:szCs w:val="24"/>
    </w:rPr>
  </w:style>
  <w:style w:type="paragraph" w:styleId="1">
    <w:name w:val="heading 1"/>
    <w:aliases w:val="论文 1,HEADING 1,Section Heading,1 ghost,g,ghost,1 ghost1,g1,ghost1,1 ghost2,g2,ghost2,1 ghost11,g11,ghost11,1 ghost3,g3,ghost3,1 ghost12,g12,ghost12,1 ghost4,g4,ghost4,1 ghost5,g5,ghost5,1 ghost6,g6,ghost6,1 ghost13,g13,ghost13,1 ghost21,g21,ghost21"/>
    <w:basedOn w:val="a0"/>
    <w:next w:val="a"/>
    <w:autoRedefine/>
    <w:qFormat/>
    <w:rsid w:val="00C43E45"/>
    <w:pPr>
      <w:keepNext/>
      <w:keepLines/>
      <w:spacing w:before="480" w:after="120"/>
      <w:ind w:firstLineChars="200" w:firstLine="200"/>
      <w:jc w:val="left"/>
    </w:pPr>
    <w:rPr>
      <w:rFonts w:ascii="Times New Roman" w:eastAsia="黑体" w:hAnsi="Times New Roman"/>
      <w:bCs w:val="0"/>
      <w:kern w:val="44"/>
      <w:sz w:val="28"/>
      <w:szCs w:val="28"/>
    </w:rPr>
  </w:style>
  <w:style w:type="paragraph" w:styleId="2">
    <w:name w:val="heading 2"/>
    <w:aliases w:val="论文2"/>
    <w:basedOn w:val="a0"/>
    <w:next w:val="a"/>
    <w:autoRedefine/>
    <w:qFormat/>
    <w:rsid w:val="00C700E1"/>
    <w:pPr>
      <w:keepNext/>
      <w:keepLines/>
      <w:spacing w:after="120"/>
      <w:jc w:val="both"/>
      <w:outlineLvl w:val="1"/>
    </w:pPr>
    <w:rPr>
      <w:rFonts w:ascii="Times New Roman" w:eastAsia="黑体" w:hAnsi="Times New Roman"/>
      <w:bCs w:val="0"/>
      <w:sz w:val="28"/>
      <w:szCs w:val="28"/>
    </w:rPr>
  </w:style>
  <w:style w:type="paragraph" w:styleId="3">
    <w:name w:val="heading 3"/>
    <w:basedOn w:val="2"/>
    <w:next w:val="a"/>
    <w:autoRedefine/>
    <w:qFormat/>
    <w:rsid w:val="00C700E1"/>
    <w:pPr>
      <w:spacing w:line="400" w:lineRule="exact"/>
      <w:outlineLvl w:val="2"/>
    </w:pPr>
    <w:rPr>
      <w:b w:val="0"/>
      <w:bCs/>
      <w:sz w:val="24"/>
      <w:szCs w:val="24"/>
    </w:rPr>
  </w:style>
  <w:style w:type="paragraph" w:styleId="4">
    <w:name w:val="heading 4"/>
    <w:basedOn w:val="a"/>
    <w:next w:val="a"/>
    <w:qFormat/>
    <w:rsid w:val="0064363D"/>
    <w:pPr>
      <w:keepNext/>
      <w:keepLines/>
      <w:tabs>
        <w:tab w:val="num" w:pos="864"/>
      </w:tabs>
      <w:spacing w:line="360" w:lineRule="auto"/>
      <w:ind w:left="864" w:hanging="864"/>
      <w:outlineLvl w:val="3"/>
    </w:pPr>
    <w:rPr>
      <w:rFonts w:ascii="Arial" w:eastAsia="楷体_GB2312" w:hAnsi="Arial"/>
      <w:bCs/>
      <w:sz w:val="28"/>
      <w:szCs w:val="28"/>
    </w:rPr>
  </w:style>
  <w:style w:type="paragraph" w:styleId="5">
    <w:name w:val="heading 5"/>
    <w:basedOn w:val="a"/>
    <w:next w:val="a"/>
    <w:qFormat/>
    <w:rsid w:val="0064363D"/>
    <w:pPr>
      <w:keepNext/>
      <w:keepLines/>
      <w:tabs>
        <w:tab w:val="num" w:pos="1008"/>
      </w:tabs>
      <w:spacing w:before="280" w:after="290" w:line="372" w:lineRule="auto"/>
      <w:ind w:left="1008" w:hanging="1008"/>
      <w:outlineLvl w:val="4"/>
    </w:pPr>
    <w:rPr>
      <w:rFonts w:eastAsia="楷体_GB2312"/>
      <w:b/>
      <w:bCs/>
      <w:sz w:val="28"/>
      <w:szCs w:val="28"/>
    </w:rPr>
  </w:style>
  <w:style w:type="paragraph" w:styleId="6">
    <w:name w:val="heading 6"/>
    <w:basedOn w:val="a"/>
    <w:next w:val="a"/>
    <w:qFormat/>
    <w:rsid w:val="0064363D"/>
    <w:pPr>
      <w:keepNext/>
      <w:keepLines/>
      <w:tabs>
        <w:tab w:val="num" w:pos="1152"/>
      </w:tabs>
      <w:spacing w:before="240" w:after="64" w:line="312" w:lineRule="auto"/>
      <w:ind w:left="1152" w:hanging="1152"/>
      <w:outlineLvl w:val="5"/>
    </w:pPr>
    <w:rPr>
      <w:rFonts w:ascii="Arial" w:eastAsia="黑体" w:hAnsi="Arial"/>
      <w:b/>
      <w:bCs/>
      <w:sz w:val="28"/>
      <w:szCs w:val="28"/>
    </w:rPr>
  </w:style>
  <w:style w:type="paragraph" w:styleId="7">
    <w:name w:val="heading 7"/>
    <w:basedOn w:val="a"/>
    <w:next w:val="a"/>
    <w:qFormat/>
    <w:rsid w:val="0064363D"/>
    <w:pPr>
      <w:keepNext/>
      <w:keepLines/>
      <w:tabs>
        <w:tab w:val="num" w:pos="1296"/>
      </w:tabs>
      <w:spacing w:before="240" w:after="64" w:line="312" w:lineRule="auto"/>
      <w:ind w:left="1296" w:hanging="1296"/>
      <w:jc w:val="left"/>
      <w:outlineLvl w:val="6"/>
    </w:pPr>
    <w:rPr>
      <w:rFonts w:eastAsia="楷体_GB2312"/>
      <w:b/>
      <w:bCs/>
      <w:szCs w:val="28"/>
    </w:rPr>
  </w:style>
  <w:style w:type="paragraph" w:styleId="8">
    <w:name w:val="heading 8"/>
    <w:basedOn w:val="a"/>
    <w:next w:val="a"/>
    <w:qFormat/>
    <w:rsid w:val="0064363D"/>
    <w:pPr>
      <w:keepNext/>
      <w:keepLines/>
      <w:tabs>
        <w:tab w:val="num" w:pos="1440"/>
      </w:tabs>
      <w:spacing w:before="240" w:after="64" w:line="312" w:lineRule="auto"/>
      <w:ind w:left="1440" w:hanging="1440"/>
      <w:jc w:val="left"/>
      <w:outlineLvl w:val="7"/>
    </w:pPr>
    <w:rPr>
      <w:rFonts w:ascii="Arial" w:eastAsia="黑体" w:hAnsi="Arial"/>
      <w:szCs w:val="28"/>
    </w:rPr>
  </w:style>
  <w:style w:type="paragraph" w:styleId="9">
    <w:name w:val="heading 9"/>
    <w:basedOn w:val="a"/>
    <w:next w:val="a"/>
    <w:qFormat/>
    <w:rsid w:val="0064363D"/>
    <w:pPr>
      <w:keepNext/>
      <w:keepLines/>
      <w:tabs>
        <w:tab w:val="num" w:pos="1584"/>
      </w:tabs>
      <w:spacing w:before="240" w:after="64" w:line="312" w:lineRule="auto"/>
      <w:ind w:left="1584" w:hanging="1584"/>
      <w:jc w:val="left"/>
      <w:outlineLvl w:val="8"/>
    </w:pPr>
    <w:rPr>
      <w:rFonts w:ascii="Arial" w:eastAsia="黑体" w:hAnsi="Arial"/>
      <w:sz w:val="28"/>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rsid w:val="00C43E45"/>
    <w:pPr>
      <w:spacing w:before="240" w:after="60"/>
      <w:jc w:val="center"/>
      <w:outlineLvl w:val="0"/>
    </w:pPr>
    <w:rPr>
      <w:rFonts w:ascii="Arial" w:hAnsi="Arial" w:cs="Arial"/>
      <w:b/>
      <w:bCs/>
      <w:sz w:val="32"/>
      <w:szCs w:val="32"/>
    </w:rPr>
  </w:style>
  <w:style w:type="paragraph" w:styleId="a4">
    <w:name w:val="header"/>
    <w:basedOn w:val="a"/>
    <w:link w:val="Char"/>
    <w:rsid w:val="00581A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1A37"/>
    <w:rPr>
      <w:kern w:val="2"/>
      <w:sz w:val="18"/>
      <w:szCs w:val="18"/>
    </w:rPr>
  </w:style>
  <w:style w:type="paragraph" w:styleId="a5">
    <w:name w:val="footer"/>
    <w:basedOn w:val="a"/>
    <w:link w:val="Char0"/>
    <w:rsid w:val="00581A37"/>
    <w:pPr>
      <w:tabs>
        <w:tab w:val="center" w:pos="4153"/>
        <w:tab w:val="right" w:pos="8306"/>
      </w:tabs>
      <w:snapToGrid w:val="0"/>
      <w:jc w:val="left"/>
    </w:pPr>
    <w:rPr>
      <w:sz w:val="18"/>
      <w:szCs w:val="18"/>
    </w:rPr>
  </w:style>
  <w:style w:type="character" w:customStyle="1" w:styleId="Char0">
    <w:name w:val="页脚 Char"/>
    <w:basedOn w:val="a1"/>
    <w:link w:val="a5"/>
    <w:rsid w:val="00581A37"/>
    <w:rPr>
      <w:kern w:val="2"/>
      <w:sz w:val="18"/>
      <w:szCs w:val="18"/>
    </w:rPr>
  </w:style>
  <w:style w:type="paragraph" w:styleId="a6">
    <w:name w:val="Balloon Text"/>
    <w:basedOn w:val="a"/>
    <w:semiHidden/>
    <w:rsid w:val="007D6B6F"/>
    <w:rPr>
      <w:sz w:val="18"/>
      <w:szCs w:val="18"/>
    </w:rPr>
  </w:style>
  <w:style w:type="character" w:styleId="a7">
    <w:name w:val="page number"/>
    <w:basedOn w:val="a1"/>
    <w:rsid w:val="00F71F9A"/>
  </w:style>
  <w:style w:type="paragraph" w:customStyle="1" w:styleId="Char1">
    <w:name w:val="Char"/>
    <w:basedOn w:val="3"/>
    <w:rsid w:val="00E91F47"/>
    <w:rPr>
      <w:rFonts w:ascii="黑体"/>
      <w:sz w:val="28"/>
    </w:rPr>
  </w:style>
  <w:style w:type="character" w:styleId="a8">
    <w:name w:val="Hyperlink"/>
    <w:basedOn w:val="a1"/>
    <w:rsid w:val="0036134E"/>
    <w:rPr>
      <w:strike w:val="0"/>
      <w:dstrike w:val="0"/>
      <w:color w:val="000000"/>
      <w:u w:val="none"/>
      <w:effect w:val="none"/>
    </w:rPr>
  </w:style>
  <w:style w:type="paragraph" w:styleId="a9">
    <w:name w:val="List Paragraph"/>
    <w:basedOn w:val="a"/>
    <w:uiPriority w:val="34"/>
    <w:qFormat/>
    <w:rsid w:val="00F509A7"/>
    <w:pPr>
      <w:ind w:firstLineChars="200" w:firstLine="420"/>
    </w:pPr>
  </w:style>
  <w:style w:type="paragraph" w:styleId="aa">
    <w:name w:val="Document Map"/>
    <w:basedOn w:val="a"/>
    <w:link w:val="Char2"/>
    <w:rsid w:val="00507224"/>
    <w:rPr>
      <w:rFonts w:ascii="宋体"/>
      <w:sz w:val="18"/>
      <w:szCs w:val="18"/>
    </w:rPr>
  </w:style>
  <w:style w:type="character" w:customStyle="1" w:styleId="Char2">
    <w:name w:val="文档结构图 Char"/>
    <w:basedOn w:val="a1"/>
    <w:link w:val="aa"/>
    <w:rsid w:val="00507224"/>
    <w:rPr>
      <w:rFonts w:ascii="宋体"/>
      <w:kern w:val="2"/>
      <w:sz w:val="18"/>
      <w:szCs w:val="18"/>
    </w:rPr>
  </w:style>
  <w:style w:type="table" w:styleId="ab">
    <w:name w:val="Table Grid"/>
    <w:basedOn w:val="a2"/>
    <w:rsid w:val="00C56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32841">
      <w:bodyDiv w:val="1"/>
      <w:marLeft w:val="0"/>
      <w:marRight w:val="0"/>
      <w:marTop w:val="0"/>
      <w:marBottom w:val="0"/>
      <w:divBdr>
        <w:top w:val="none" w:sz="0" w:space="0" w:color="auto"/>
        <w:left w:val="none" w:sz="0" w:space="0" w:color="auto"/>
        <w:bottom w:val="none" w:sz="0" w:space="0" w:color="auto"/>
        <w:right w:val="none" w:sz="0" w:space="0" w:color="auto"/>
      </w:divBdr>
    </w:div>
    <w:div w:id="30543901">
      <w:bodyDiv w:val="1"/>
      <w:marLeft w:val="0"/>
      <w:marRight w:val="0"/>
      <w:marTop w:val="0"/>
      <w:marBottom w:val="0"/>
      <w:divBdr>
        <w:top w:val="none" w:sz="0" w:space="0" w:color="auto"/>
        <w:left w:val="none" w:sz="0" w:space="0" w:color="auto"/>
        <w:bottom w:val="none" w:sz="0" w:space="0" w:color="auto"/>
        <w:right w:val="none" w:sz="0" w:space="0" w:color="auto"/>
      </w:divBdr>
    </w:div>
    <w:div w:id="106002131">
      <w:bodyDiv w:val="1"/>
      <w:marLeft w:val="0"/>
      <w:marRight w:val="0"/>
      <w:marTop w:val="0"/>
      <w:marBottom w:val="0"/>
      <w:divBdr>
        <w:top w:val="none" w:sz="0" w:space="0" w:color="auto"/>
        <w:left w:val="none" w:sz="0" w:space="0" w:color="auto"/>
        <w:bottom w:val="none" w:sz="0" w:space="0" w:color="auto"/>
        <w:right w:val="none" w:sz="0" w:space="0" w:color="auto"/>
      </w:divBdr>
    </w:div>
    <w:div w:id="126819136">
      <w:bodyDiv w:val="1"/>
      <w:marLeft w:val="0"/>
      <w:marRight w:val="0"/>
      <w:marTop w:val="0"/>
      <w:marBottom w:val="0"/>
      <w:divBdr>
        <w:top w:val="none" w:sz="0" w:space="0" w:color="auto"/>
        <w:left w:val="none" w:sz="0" w:space="0" w:color="auto"/>
        <w:bottom w:val="none" w:sz="0" w:space="0" w:color="auto"/>
        <w:right w:val="none" w:sz="0" w:space="0" w:color="auto"/>
      </w:divBdr>
    </w:div>
    <w:div w:id="162353397">
      <w:bodyDiv w:val="1"/>
      <w:marLeft w:val="0"/>
      <w:marRight w:val="0"/>
      <w:marTop w:val="0"/>
      <w:marBottom w:val="0"/>
      <w:divBdr>
        <w:top w:val="none" w:sz="0" w:space="0" w:color="auto"/>
        <w:left w:val="none" w:sz="0" w:space="0" w:color="auto"/>
        <w:bottom w:val="none" w:sz="0" w:space="0" w:color="auto"/>
        <w:right w:val="none" w:sz="0" w:space="0" w:color="auto"/>
      </w:divBdr>
    </w:div>
    <w:div w:id="177085835">
      <w:bodyDiv w:val="1"/>
      <w:marLeft w:val="0"/>
      <w:marRight w:val="0"/>
      <w:marTop w:val="0"/>
      <w:marBottom w:val="0"/>
      <w:divBdr>
        <w:top w:val="none" w:sz="0" w:space="0" w:color="auto"/>
        <w:left w:val="none" w:sz="0" w:space="0" w:color="auto"/>
        <w:bottom w:val="none" w:sz="0" w:space="0" w:color="auto"/>
        <w:right w:val="none" w:sz="0" w:space="0" w:color="auto"/>
      </w:divBdr>
    </w:div>
    <w:div w:id="226115879">
      <w:bodyDiv w:val="1"/>
      <w:marLeft w:val="0"/>
      <w:marRight w:val="0"/>
      <w:marTop w:val="0"/>
      <w:marBottom w:val="0"/>
      <w:divBdr>
        <w:top w:val="none" w:sz="0" w:space="0" w:color="auto"/>
        <w:left w:val="none" w:sz="0" w:space="0" w:color="auto"/>
        <w:bottom w:val="none" w:sz="0" w:space="0" w:color="auto"/>
        <w:right w:val="none" w:sz="0" w:space="0" w:color="auto"/>
      </w:divBdr>
    </w:div>
    <w:div w:id="320351072">
      <w:bodyDiv w:val="1"/>
      <w:marLeft w:val="0"/>
      <w:marRight w:val="0"/>
      <w:marTop w:val="0"/>
      <w:marBottom w:val="0"/>
      <w:divBdr>
        <w:top w:val="none" w:sz="0" w:space="0" w:color="auto"/>
        <w:left w:val="none" w:sz="0" w:space="0" w:color="auto"/>
        <w:bottom w:val="none" w:sz="0" w:space="0" w:color="auto"/>
        <w:right w:val="none" w:sz="0" w:space="0" w:color="auto"/>
      </w:divBdr>
    </w:div>
    <w:div w:id="350837604">
      <w:bodyDiv w:val="1"/>
      <w:marLeft w:val="0"/>
      <w:marRight w:val="0"/>
      <w:marTop w:val="0"/>
      <w:marBottom w:val="0"/>
      <w:divBdr>
        <w:top w:val="none" w:sz="0" w:space="0" w:color="auto"/>
        <w:left w:val="none" w:sz="0" w:space="0" w:color="auto"/>
        <w:bottom w:val="none" w:sz="0" w:space="0" w:color="auto"/>
        <w:right w:val="none" w:sz="0" w:space="0" w:color="auto"/>
      </w:divBdr>
    </w:div>
    <w:div w:id="366292712">
      <w:bodyDiv w:val="1"/>
      <w:marLeft w:val="0"/>
      <w:marRight w:val="0"/>
      <w:marTop w:val="0"/>
      <w:marBottom w:val="0"/>
      <w:divBdr>
        <w:top w:val="none" w:sz="0" w:space="0" w:color="auto"/>
        <w:left w:val="none" w:sz="0" w:space="0" w:color="auto"/>
        <w:bottom w:val="none" w:sz="0" w:space="0" w:color="auto"/>
        <w:right w:val="none" w:sz="0" w:space="0" w:color="auto"/>
      </w:divBdr>
    </w:div>
    <w:div w:id="532352974">
      <w:bodyDiv w:val="1"/>
      <w:marLeft w:val="0"/>
      <w:marRight w:val="0"/>
      <w:marTop w:val="0"/>
      <w:marBottom w:val="0"/>
      <w:divBdr>
        <w:top w:val="none" w:sz="0" w:space="0" w:color="auto"/>
        <w:left w:val="none" w:sz="0" w:space="0" w:color="auto"/>
        <w:bottom w:val="none" w:sz="0" w:space="0" w:color="auto"/>
        <w:right w:val="none" w:sz="0" w:space="0" w:color="auto"/>
      </w:divBdr>
    </w:div>
    <w:div w:id="539630940">
      <w:bodyDiv w:val="1"/>
      <w:marLeft w:val="0"/>
      <w:marRight w:val="0"/>
      <w:marTop w:val="0"/>
      <w:marBottom w:val="0"/>
      <w:divBdr>
        <w:top w:val="none" w:sz="0" w:space="0" w:color="auto"/>
        <w:left w:val="none" w:sz="0" w:space="0" w:color="auto"/>
        <w:bottom w:val="none" w:sz="0" w:space="0" w:color="auto"/>
        <w:right w:val="none" w:sz="0" w:space="0" w:color="auto"/>
      </w:divBdr>
    </w:div>
    <w:div w:id="563371596">
      <w:bodyDiv w:val="1"/>
      <w:marLeft w:val="0"/>
      <w:marRight w:val="0"/>
      <w:marTop w:val="0"/>
      <w:marBottom w:val="0"/>
      <w:divBdr>
        <w:top w:val="none" w:sz="0" w:space="0" w:color="auto"/>
        <w:left w:val="none" w:sz="0" w:space="0" w:color="auto"/>
        <w:bottom w:val="none" w:sz="0" w:space="0" w:color="auto"/>
        <w:right w:val="none" w:sz="0" w:space="0" w:color="auto"/>
      </w:divBdr>
    </w:div>
    <w:div w:id="670447098">
      <w:bodyDiv w:val="1"/>
      <w:marLeft w:val="0"/>
      <w:marRight w:val="0"/>
      <w:marTop w:val="0"/>
      <w:marBottom w:val="0"/>
      <w:divBdr>
        <w:top w:val="none" w:sz="0" w:space="0" w:color="auto"/>
        <w:left w:val="none" w:sz="0" w:space="0" w:color="auto"/>
        <w:bottom w:val="none" w:sz="0" w:space="0" w:color="auto"/>
        <w:right w:val="none" w:sz="0" w:space="0" w:color="auto"/>
      </w:divBdr>
    </w:div>
    <w:div w:id="920607130">
      <w:bodyDiv w:val="1"/>
      <w:marLeft w:val="0"/>
      <w:marRight w:val="0"/>
      <w:marTop w:val="0"/>
      <w:marBottom w:val="0"/>
      <w:divBdr>
        <w:top w:val="none" w:sz="0" w:space="0" w:color="auto"/>
        <w:left w:val="none" w:sz="0" w:space="0" w:color="auto"/>
        <w:bottom w:val="none" w:sz="0" w:space="0" w:color="auto"/>
        <w:right w:val="none" w:sz="0" w:space="0" w:color="auto"/>
      </w:divBdr>
    </w:div>
    <w:div w:id="1015838404">
      <w:bodyDiv w:val="1"/>
      <w:marLeft w:val="0"/>
      <w:marRight w:val="0"/>
      <w:marTop w:val="0"/>
      <w:marBottom w:val="0"/>
      <w:divBdr>
        <w:top w:val="none" w:sz="0" w:space="0" w:color="auto"/>
        <w:left w:val="none" w:sz="0" w:space="0" w:color="auto"/>
        <w:bottom w:val="none" w:sz="0" w:space="0" w:color="auto"/>
        <w:right w:val="none" w:sz="0" w:space="0" w:color="auto"/>
      </w:divBdr>
    </w:div>
    <w:div w:id="1021934469">
      <w:bodyDiv w:val="1"/>
      <w:marLeft w:val="0"/>
      <w:marRight w:val="0"/>
      <w:marTop w:val="0"/>
      <w:marBottom w:val="0"/>
      <w:divBdr>
        <w:top w:val="none" w:sz="0" w:space="0" w:color="auto"/>
        <w:left w:val="none" w:sz="0" w:space="0" w:color="auto"/>
        <w:bottom w:val="none" w:sz="0" w:space="0" w:color="auto"/>
        <w:right w:val="none" w:sz="0" w:space="0" w:color="auto"/>
      </w:divBdr>
    </w:div>
    <w:div w:id="1100688221">
      <w:bodyDiv w:val="1"/>
      <w:marLeft w:val="0"/>
      <w:marRight w:val="0"/>
      <w:marTop w:val="0"/>
      <w:marBottom w:val="0"/>
      <w:divBdr>
        <w:top w:val="none" w:sz="0" w:space="0" w:color="auto"/>
        <w:left w:val="none" w:sz="0" w:space="0" w:color="auto"/>
        <w:bottom w:val="none" w:sz="0" w:space="0" w:color="auto"/>
        <w:right w:val="none" w:sz="0" w:space="0" w:color="auto"/>
      </w:divBdr>
    </w:div>
    <w:div w:id="1121992857">
      <w:bodyDiv w:val="1"/>
      <w:marLeft w:val="0"/>
      <w:marRight w:val="0"/>
      <w:marTop w:val="0"/>
      <w:marBottom w:val="0"/>
      <w:divBdr>
        <w:top w:val="none" w:sz="0" w:space="0" w:color="auto"/>
        <w:left w:val="none" w:sz="0" w:space="0" w:color="auto"/>
        <w:bottom w:val="none" w:sz="0" w:space="0" w:color="auto"/>
        <w:right w:val="none" w:sz="0" w:space="0" w:color="auto"/>
      </w:divBdr>
    </w:div>
    <w:div w:id="1168979689">
      <w:bodyDiv w:val="1"/>
      <w:marLeft w:val="0"/>
      <w:marRight w:val="0"/>
      <w:marTop w:val="0"/>
      <w:marBottom w:val="0"/>
      <w:divBdr>
        <w:top w:val="none" w:sz="0" w:space="0" w:color="auto"/>
        <w:left w:val="none" w:sz="0" w:space="0" w:color="auto"/>
        <w:bottom w:val="none" w:sz="0" w:space="0" w:color="auto"/>
        <w:right w:val="none" w:sz="0" w:space="0" w:color="auto"/>
      </w:divBdr>
    </w:div>
    <w:div w:id="1225141763">
      <w:bodyDiv w:val="1"/>
      <w:marLeft w:val="0"/>
      <w:marRight w:val="0"/>
      <w:marTop w:val="0"/>
      <w:marBottom w:val="0"/>
      <w:divBdr>
        <w:top w:val="none" w:sz="0" w:space="0" w:color="auto"/>
        <w:left w:val="none" w:sz="0" w:space="0" w:color="auto"/>
        <w:bottom w:val="none" w:sz="0" w:space="0" w:color="auto"/>
        <w:right w:val="none" w:sz="0" w:space="0" w:color="auto"/>
      </w:divBdr>
    </w:div>
    <w:div w:id="1246842690">
      <w:bodyDiv w:val="1"/>
      <w:marLeft w:val="0"/>
      <w:marRight w:val="0"/>
      <w:marTop w:val="0"/>
      <w:marBottom w:val="0"/>
      <w:divBdr>
        <w:top w:val="none" w:sz="0" w:space="0" w:color="auto"/>
        <w:left w:val="none" w:sz="0" w:space="0" w:color="auto"/>
        <w:bottom w:val="none" w:sz="0" w:space="0" w:color="auto"/>
        <w:right w:val="none" w:sz="0" w:space="0" w:color="auto"/>
      </w:divBdr>
    </w:div>
    <w:div w:id="1249537064">
      <w:bodyDiv w:val="1"/>
      <w:marLeft w:val="0"/>
      <w:marRight w:val="0"/>
      <w:marTop w:val="0"/>
      <w:marBottom w:val="0"/>
      <w:divBdr>
        <w:top w:val="none" w:sz="0" w:space="0" w:color="auto"/>
        <w:left w:val="none" w:sz="0" w:space="0" w:color="auto"/>
        <w:bottom w:val="none" w:sz="0" w:space="0" w:color="auto"/>
        <w:right w:val="none" w:sz="0" w:space="0" w:color="auto"/>
      </w:divBdr>
    </w:div>
    <w:div w:id="1285818136">
      <w:bodyDiv w:val="1"/>
      <w:marLeft w:val="0"/>
      <w:marRight w:val="0"/>
      <w:marTop w:val="0"/>
      <w:marBottom w:val="0"/>
      <w:divBdr>
        <w:top w:val="none" w:sz="0" w:space="0" w:color="auto"/>
        <w:left w:val="none" w:sz="0" w:space="0" w:color="auto"/>
        <w:bottom w:val="none" w:sz="0" w:space="0" w:color="auto"/>
        <w:right w:val="none" w:sz="0" w:space="0" w:color="auto"/>
      </w:divBdr>
    </w:div>
    <w:div w:id="1338656178">
      <w:bodyDiv w:val="1"/>
      <w:marLeft w:val="0"/>
      <w:marRight w:val="0"/>
      <w:marTop w:val="0"/>
      <w:marBottom w:val="0"/>
      <w:divBdr>
        <w:top w:val="none" w:sz="0" w:space="0" w:color="auto"/>
        <w:left w:val="none" w:sz="0" w:space="0" w:color="auto"/>
        <w:bottom w:val="none" w:sz="0" w:space="0" w:color="auto"/>
        <w:right w:val="none" w:sz="0" w:space="0" w:color="auto"/>
      </w:divBdr>
    </w:div>
    <w:div w:id="1371802911">
      <w:bodyDiv w:val="1"/>
      <w:marLeft w:val="0"/>
      <w:marRight w:val="0"/>
      <w:marTop w:val="0"/>
      <w:marBottom w:val="0"/>
      <w:divBdr>
        <w:top w:val="none" w:sz="0" w:space="0" w:color="auto"/>
        <w:left w:val="none" w:sz="0" w:space="0" w:color="auto"/>
        <w:bottom w:val="none" w:sz="0" w:space="0" w:color="auto"/>
        <w:right w:val="none" w:sz="0" w:space="0" w:color="auto"/>
      </w:divBdr>
    </w:div>
    <w:div w:id="1417357281">
      <w:bodyDiv w:val="1"/>
      <w:marLeft w:val="0"/>
      <w:marRight w:val="0"/>
      <w:marTop w:val="0"/>
      <w:marBottom w:val="0"/>
      <w:divBdr>
        <w:top w:val="none" w:sz="0" w:space="0" w:color="auto"/>
        <w:left w:val="none" w:sz="0" w:space="0" w:color="auto"/>
        <w:bottom w:val="none" w:sz="0" w:space="0" w:color="auto"/>
        <w:right w:val="none" w:sz="0" w:space="0" w:color="auto"/>
      </w:divBdr>
    </w:div>
    <w:div w:id="1439447822">
      <w:bodyDiv w:val="1"/>
      <w:marLeft w:val="0"/>
      <w:marRight w:val="0"/>
      <w:marTop w:val="0"/>
      <w:marBottom w:val="0"/>
      <w:divBdr>
        <w:top w:val="none" w:sz="0" w:space="0" w:color="auto"/>
        <w:left w:val="none" w:sz="0" w:space="0" w:color="auto"/>
        <w:bottom w:val="none" w:sz="0" w:space="0" w:color="auto"/>
        <w:right w:val="none" w:sz="0" w:space="0" w:color="auto"/>
      </w:divBdr>
    </w:div>
    <w:div w:id="1565020257">
      <w:bodyDiv w:val="1"/>
      <w:marLeft w:val="0"/>
      <w:marRight w:val="0"/>
      <w:marTop w:val="0"/>
      <w:marBottom w:val="0"/>
      <w:divBdr>
        <w:top w:val="none" w:sz="0" w:space="0" w:color="auto"/>
        <w:left w:val="none" w:sz="0" w:space="0" w:color="auto"/>
        <w:bottom w:val="none" w:sz="0" w:space="0" w:color="auto"/>
        <w:right w:val="none" w:sz="0" w:space="0" w:color="auto"/>
      </w:divBdr>
    </w:div>
    <w:div w:id="1601985827">
      <w:bodyDiv w:val="1"/>
      <w:marLeft w:val="0"/>
      <w:marRight w:val="0"/>
      <w:marTop w:val="0"/>
      <w:marBottom w:val="0"/>
      <w:divBdr>
        <w:top w:val="none" w:sz="0" w:space="0" w:color="auto"/>
        <w:left w:val="none" w:sz="0" w:space="0" w:color="auto"/>
        <w:bottom w:val="none" w:sz="0" w:space="0" w:color="auto"/>
        <w:right w:val="none" w:sz="0" w:space="0" w:color="auto"/>
      </w:divBdr>
    </w:div>
    <w:div w:id="1704672957">
      <w:bodyDiv w:val="1"/>
      <w:marLeft w:val="0"/>
      <w:marRight w:val="0"/>
      <w:marTop w:val="0"/>
      <w:marBottom w:val="0"/>
      <w:divBdr>
        <w:top w:val="none" w:sz="0" w:space="0" w:color="auto"/>
        <w:left w:val="none" w:sz="0" w:space="0" w:color="auto"/>
        <w:bottom w:val="none" w:sz="0" w:space="0" w:color="auto"/>
        <w:right w:val="none" w:sz="0" w:space="0" w:color="auto"/>
      </w:divBdr>
    </w:div>
    <w:div w:id="1739210464">
      <w:bodyDiv w:val="1"/>
      <w:marLeft w:val="0"/>
      <w:marRight w:val="0"/>
      <w:marTop w:val="0"/>
      <w:marBottom w:val="0"/>
      <w:divBdr>
        <w:top w:val="none" w:sz="0" w:space="0" w:color="auto"/>
        <w:left w:val="none" w:sz="0" w:space="0" w:color="auto"/>
        <w:bottom w:val="none" w:sz="0" w:space="0" w:color="auto"/>
        <w:right w:val="none" w:sz="0" w:space="0" w:color="auto"/>
      </w:divBdr>
    </w:div>
    <w:div w:id="1777867843">
      <w:bodyDiv w:val="1"/>
      <w:marLeft w:val="0"/>
      <w:marRight w:val="0"/>
      <w:marTop w:val="0"/>
      <w:marBottom w:val="0"/>
      <w:divBdr>
        <w:top w:val="none" w:sz="0" w:space="0" w:color="auto"/>
        <w:left w:val="none" w:sz="0" w:space="0" w:color="auto"/>
        <w:bottom w:val="none" w:sz="0" w:space="0" w:color="auto"/>
        <w:right w:val="none" w:sz="0" w:space="0" w:color="auto"/>
      </w:divBdr>
    </w:div>
    <w:div w:id="1907690957">
      <w:bodyDiv w:val="1"/>
      <w:marLeft w:val="0"/>
      <w:marRight w:val="0"/>
      <w:marTop w:val="0"/>
      <w:marBottom w:val="0"/>
      <w:divBdr>
        <w:top w:val="none" w:sz="0" w:space="0" w:color="auto"/>
        <w:left w:val="none" w:sz="0" w:space="0" w:color="auto"/>
        <w:bottom w:val="none" w:sz="0" w:space="0" w:color="auto"/>
        <w:right w:val="none" w:sz="0" w:space="0" w:color="auto"/>
      </w:divBdr>
    </w:div>
    <w:div w:id="2089232809">
      <w:bodyDiv w:val="1"/>
      <w:marLeft w:val="0"/>
      <w:marRight w:val="0"/>
      <w:marTop w:val="0"/>
      <w:marBottom w:val="0"/>
      <w:divBdr>
        <w:top w:val="none" w:sz="0" w:space="0" w:color="auto"/>
        <w:left w:val="none" w:sz="0" w:space="0" w:color="auto"/>
        <w:bottom w:val="none" w:sz="0" w:space="0" w:color="auto"/>
        <w:right w:val="none" w:sz="0" w:space="0" w:color="auto"/>
      </w:divBdr>
    </w:div>
    <w:div w:id="2110464944">
      <w:bodyDiv w:val="1"/>
      <w:marLeft w:val="0"/>
      <w:marRight w:val="0"/>
      <w:marTop w:val="0"/>
      <w:marBottom w:val="0"/>
      <w:divBdr>
        <w:top w:val="none" w:sz="0" w:space="0" w:color="auto"/>
        <w:left w:val="none" w:sz="0" w:space="0" w:color="auto"/>
        <w:bottom w:val="none" w:sz="0" w:space="0" w:color="auto"/>
        <w:right w:val="none" w:sz="0" w:space="0" w:color="auto"/>
      </w:divBdr>
    </w:div>
    <w:div w:id="213201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6</Pages>
  <Words>538</Words>
  <Characters>3067</Characters>
  <Application>Microsoft Office Word</Application>
  <DocSecurity>0</DocSecurity>
  <Lines>25</Lines>
  <Paragraphs>7</Paragraphs>
  <ScaleCrop>false</ScaleCrop>
  <Company>申通研究所</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上海轨道交通新线项目铺轨工作周报</dc:title>
  <dc:creator>dongguoxian</dc:creator>
  <cp:lastModifiedBy>周志成</cp:lastModifiedBy>
  <cp:revision>181</cp:revision>
  <cp:lastPrinted>2013-05-16T03:04:00Z</cp:lastPrinted>
  <dcterms:created xsi:type="dcterms:W3CDTF">2013-05-06T01:31:00Z</dcterms:created>
  <dcterms:modified xsi:type="dcterms:W3CDTF">2013-06-08T02:29:00Z</dcterms:modified>
</cp:coreProperties>
</file>