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b/>
          <w:i w:val="0"/>
          <w:color w:val="E94560"/>
          <w:sz w:val="18"/>
        </w:rPr>
        <w:t>Q-ONCO PLATFORM</w:t>
      </w:r>
    </w:p>
    <w:p>
      <w:pPr>
        <w:spacing w:before="160" w:after="240"/>
        <w:jc w:val="center"/>
      </w:pPr>
      <w:r>
        <w:rPr>
          <w:b/>
          <w:i w:val="0"/>
          <w:color w:val="1A1A2E"/>
          <w:sz w:val="56"/>
        </w:rPr>
        <w:t>Biotools Intelligence Architecture Report</w:t>
      </w:r>
    </w:p>
    <w:p>
      <w:pPr>
        <w:spacing w:before="80" w:after="800"/>
        <w:jc w:val="center"/>
      </w:pPr>
      <w:r>
        <w:rPr>
          <w:b w:val="0"/>
          <w:i w:val="0"/>
          <w:color w:val="6B7280"/>
          <w:sz w:val="22"/>
        </w:rPr>
        <w:t>A comprehensive teardown of molecular visualization, microscopy image analysis, AI/ML prediction, and genomics tools — with an ambitious roadmap for building a unified, best-in-class biotools platform for HGSOC research.</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1a1a2e"/>
          </w:tcPr>
          <w:p>
            <w:pPr>
              <w:jc w:val="center"/>
            </w:pPr>
            <w:r>
              <w:rPr>
                <w:b/>
                <w:color w:val="FFFFFF"/>
                <w:sz w:val="16"/>
              </w:rPr>
              <w:t>Prepared for</w:t>
            </w:r>
          </w:p>
        </w:tc>
        <w:tc>
          <w:tcPr>
            <w:tcW w:type="dxa" w:w="2351"/>
            <w:shd w:val="clear" w:color="auto" w:fill="1a1a2e"/>
          </w:tcPr>
          <w:p>
            <w:pPr>
              <w:jc w:val="center"/>
            </w:pPr>
            <w:r>
              <w:rPr>
                <w:b/>
                <w:color w:val="FFFFFF"/>
                <w:sz w:val="16"/>
              </w:rPr>
              <w:t>Focus Area</w:t>
            </w:r>
          </w:p>
        </w:tc>
        <w:tc>
          <w:tcPr>
            <w:tcW w:type="dxa" w:w="2351"/>
            <w:shd w:val="clear" w:color="auto" w:fill="1a1a2e"/>
          </w:tcPr>
          <w:p>
            <w:pPr>
              <w:jc w:val="center"/>
            </w:pPr>
            <w:r>
              <w:rPr>
                <w:b/>
                <w:color w:val="FFFFFF"/>
                <w:sz w:val="16"/>
              </w:rPr>
              <w:t>Date</w:t>
            </w:r>
          </w:p>
        </w:tc>
        <w:tc>
          <w:tcPr>
            <w:tcW w:type="dxa" w:w="2351"/>
            <w:shd w:val="clear" w:color="auto" w:fill="1a1a2e"/>
          </w:tcPr>
          <w:p>
            <w:pPr>
              <w:jc w:val="center"/>
            </w:pPr>
            <w:r>
              <w:rPr>
                <w:b/>
                <w:color w:val="FFFFFF"/>
                <w:sz w:val="16"/>
              </w:rPr>
              <w:t>Tools Analyzed</w:t>
            </w:r>
          </w:p>
        </w:tc>
      </w:tr>
      <w:tr>
        <w:tc>
          <w:tcPr>
            <w:tcW w:type="dxa" w:w="2351"/>
            <w:shd w:val="clear" w:color="auto" w:fill="F8FAFC"/>
          </w:tcPr>
          <w:p>
            <w:pPr>
              <w:jc w:val="center"/>
            </w:pPr>
            <w:r>
              <w:rPr>
                <w:b w:val="0"/>
                <w:color w:val="1A1A2E"/>
                <w:sz w:val="20"/>
              </w:rPr>
              <w:t>Dr. Amritha &amp; Q-onco Team</w:t>
            </w:r>
          </w:p>
        </w:tc>
        <w:tc>
          <w:tcPr>
            <w:tcW w:type="dxa" w:w="2351"/>
            <w:shd w:val="clear" w:color="auto" w:fill="F8FAFC"/>
          </w:tcPr>
          <w:p>
            <w:pPr>
              <w:jc w:val="center"/>
            </w:pPr>
            <w:r>
              <w:rPr>
                <w:b w:val="0"/>
                <w:color w:val="1A1A2E"/>
                <w:sz w:val="20"/>
              </w:rPr>
              <w:t>HGSOC / Ovarian Cancer Research</w:t>
            </w:r>
          </w:p>
        </w:tc>
        <w:tc>
          <w:tcPr>
            <w:tcW w:type="dxa" w:w="2351"/>
            <w:shd w:val="clear" w:color="auto" w:fill="F8FAFC"/>
          </w:tcPr>
          <w:p>
            <w:pPr>
              <w:jc w:val="center"/>
            </w:pPr>
            <w:r>
              <w:rPr>
                <w:b w:val="0"/>
                <w:color w:val="1A1A2E"/>
                <w:sz w:val="20"/>
              </w:rPr>
              <w:t>May 2026</w:t>
            </w:r>
          </w:p>
        </w:tc>
        <w:tc>
          <w:tcPr>
            <w:tcW w:type="dxa" w:w="2351"/>
            <w:shd w:val="clear" w:color="auto" w:fill="F8FAFC"/>
          </w:tcPr>
          <w:p>
            <w:pPr>
              <w:jc w:val="center"/>
            </w:pPr>
            <w:r>
              <w:rPr>
                <w:b w:val="0"/>
                <w:color w:val="1A1A2E"/>
                <w:sz w:val="20"/>
              </w:rPr>
              <w:t>18+ Libraries</w:t>
            </w:r>
          </w:p>
        </w:tc>
      </w:tr>
    </w:tbl>
    <w:p>
      <w:r>
        <w:br w:type="page"/>
      </w:r>
    </w:p>
    <w:p>
      <w:pPr>
        <w:spacing w:before="360" w:after="120"/>
      </w:pPr>
      <w:r>
        <w:rPr>
          <w:b/>
          <w:i w:val="0"/>
          <w:color w:val="1A1A2E"/>
          <w:sz w:val="44"/>
        </w:rPr>
        <w:t>Table of Contents</w:t>
      </w:r>
    </w:p>
    <w:p>
      <w:pPr>
        <w:spacing w:after="120"/>
      </w:pPr>
      <w:r>
        <w:rPr>
          <w:b/>
          <w:color w:val="E94560"/>
          <w:sz w:val="20"/>
        </w:rPr>
        <w:t xml:space="preserve">01  </w:t>
      </w:r>
      <w:r>
        <w:rPr>
          <w:color w:val="1A1A2E"/>
          <w:sz w:val="21"/>
        </w:rPr>
        <w:t>Executive Summary &amp; Vision</w:t>
      </w:r>
    </w:p>
    <w:p>
      <w:pPr>
        <w:spacing w:after="120"/>
      </w:pPr>
      <w:r>
        <w:rPr>
          <w:b/>
          <w:color w:val="E94560"/>
          <w:sz w:val="20"/>
        </w:rPr>
        <w:t xml:space="preserve">02  </w:t>
      </w:r>
      <w:r>
        <w:rPr>
          <w:color w:val="1A1A2E"/>
          <w:sz w:val="21"/>
        </w:rPr>
        <w:t>Molecular Visualization: A Full Teardown</w:t>
      </w:r>
    </w:p>
    <w:p>
      <w:pPr>
        <w:spacing w:after="120"/>
      </w:pPr>
      <w:r>
        <w:rPr>
          <w:b/>
          <w:color w:val="E94560"/>
          <w:sz w:val="20"/>
        </w:rPr>
        <w:t xml:space="preserve">03  </w:t>
      </w:r>
      <w:r>
        <w:rPr>
          <w:color w:val="1A1A2E"/>
          <w:sz w:val="21"/>
        </w:rPr>
        <w:t>Microscopy &amp; Image Analysis</w:t>
      </w:r>
    </w:p>
    <w:p>
      <w:pPr>
        <w:spacing w:after="120"/>
      </w:pPr>
      <w:r>
        <w:rPr>
          <w:b/>
          <w:color w:val="E94560"/>
          <w:sz w:val="20"/>
        </w:rPr>
        <w:t xml:space="preserve">04  </w:t>
      </w:r>
      <w:r>
        <w:rPr>
          <w:color w:val="1A1A2E"/>
          <w:sz w:val="21"/>
        </w:rPr>
        <w:t>AI/ML Predictions: Proteins, Docking &amp; Variants</w:t>
      </w:r>
    </w:p>
    <w:p>
      <w:pPr>
        <w:spacing w:after="120"/>
      </w:pPr>
      <w:r>
        <w:rPr>
          <w:b/>
          <w:color w:val="E94560"/>
          <w:sz w:val="20"/>
        </w:rPr>
        <w:t xml:space="preserve">05  </w:t>
      </w:r>
      <w:r>
        <w:rPr>
          <w:color w:val="1A1A2E"/>
          <w:sz w:val="21"/>
        </w:rPr>
        <w:t>Genomics Browser: IGV.js Teardown</w:t>
      </w:r>
    </w:p>
    <w:p>
      <w:pPr>
        <w:spacing w:after="120"/>
      </w:pPr>
      <w:r>
        <w:rPr>
          <w:b/>
          <w:color w:val="E94560"/>
          <w:sz w:val="20"/>
        </w:rPr>
        <w:t xml:space="preserve">06  </w:t>
      </w:r>
      <w:r>
        <w:rPr>
          <w:color w:val="1A1A2E"/>
          <w:sz w:val="21"/>
        </w:rPr>
        <w:t>Architecture Philosophy</w:t>
      </w:r>
    </w:p>
    <w:p>
      <w:pPr>
        <w:spacing w:after="120"/>
      </w:pPr>
      <w:r>
        <w:rPr>
          <w:b/>
          <w:color w:val="E94560"/>
          <w:sz w:val="20"/>
        </w:rPr>
        <w:t xml:space="preserve">07  </w:t>
      </w:r>
      <w:r>
        <w:rPr>
          <w:color w:val="1A1A2E"/>
          <w:sz w:val="21"/>
        </w:rPr>
        <w:t>The Ambitious Build Plan</w:t>
      </w:r>
    </w:p>
    <w:p>
      <w:pPr>
        <w:spacing w:after="120"/>
      </w:pPr>
      <w:r>
        <w:rPr>
          <w:b/>
          <w:color w:val="E94560"/>
          <w:sz w:val="20"/>
        </w:rPr>
        <w:t xml:space="preserve">08  </w:t>
      </w:r>
      <w:r>
        <w:rPr>
          <w:color w:val="1A1A2E"/>
          <w:sz w:val="21"/>
        </w:rPr>
        <w:t>HGSOC Researcher Pain Points &amp; Feature Mapping</w:t>
      </w:r>
    </w:p>
    <w:p>
      <w:pPr>
        <w:spacing w:after="120"/>
      </w:pPr>
      <w:r>
        <w:rPr>
          <w:b/>
          <w:color w:val="E94560"/>
          <w:sz w:val="20"/>
        </w:rPr>
        <w:t xml:space="preserve">09  </w:t>
      </w:r>
      <w:r>
        <w:rPr>
          <w:color w:val="1A1A2E"/>
          <w:sz w:val="21"/>
        </w:rPr>
        <w:t>Build vs Embed: Decision Framework</w:t>
      </w:r>
    </w:p>
    <w:p>
      <w:pPr>
        <w:spacing w:after="120"/>
      </w:pPr>
      <w:r>
        <w:rPr>
          <w:b/>
          <w:color w:val="E94560"/>
          <w:sz w:val="20"/>
        </w:rPr>
        <w:t xml:space="preserve">10  </w:t>
      </w:r>
      <w:r>
        <w:rPr>
          <w:color w:val="1A1A2E"/>
          <w:sz w:val="21"/>
        </w:rPr>
        <w:t>Appendix: Technology Reference Cards</w:t>
      </w:r>
    </w:p>
    <w:p>
      <w:r>
        <w:br w:type="page"/>
      </w:r>
    </w:p>
    <w:p>
      <w:pPr>
        <w:keepNext/>
        <w:spacing w:before="480" w:after="80"/>
      </w:pPr>
      <w:r>
        <w:rPr>
          <w:b/>
          <w:color w:val="E94560"/>
          <w:sz w:val="18"/>
        </w:rPr>
        <w:t xml:space="preserve">01  </w:t>
      </w:r>
      <w:r>
        <w:rPr>
          <w:b/>
          <w:color w:val="1A1A2E"/>
          <w:sz w:val="32"/>
        </w:rPr>
        <w:t>Executive Summary &amp; Vision</w:t>
      </w:r>
    </w:p>
    <w:tbl>
      <w:tblPr>
        <w:tblStyle w:val="TableGrid"/>
        <w:tblW w:type="auto" w:w="0"/>
        <w:jc w:val="left"/>
        <w:tblLook w:firstColumn="1" w:firstRow="1" w:lastColumn="0" w:lastRow="0" w:noHBand="0" w:noVBand="1" w:val="04A0"/>
      </w:tblPr>
      <w:tblGrid>
        <w:gridCol w:w="9406"/>
      </w:tblGrid>
      <w:tr>
        <w:tc>
          <w:tcPr>
            <w:tcW w:type="dxa" w:w="9360"/>
            <w:shd w:val="clear" w:color="auto" w:fill="1a1a2e"/>
          </w:tcPr>
          <w:p>
            <w:r>
              <w:rPr>
                <w:b/>
                <w:color w:val="FFFFFF"/>
                <w:sz w:val="18"/>
              </w:rPr>
              <w:t>✦ The Core Thesis</w:t>
            </w:r>
          </w:p>
        </w:tc>
      </w:tr>
      <w:tr>
        <w:tc>
          <w:tcPr>
            <w:tcW w:type="dxa" w:w="9406"/>
            <w:shd w:val="clear" w:color="auto" w:fill="F8FAFC"/>
          </w:tcPr>
          <w:p>
            <w:pPr>
              <w:spacing w:before="80" w:after="80"/>
            </w:pPr>
            <w:r>
              <w:rPr>
                <w:sz w:val="20"/>
              </w:rPr>
              <w:t>Every tool we analyzed was built to solve a general problem. We are building something different: a precision instrument tuned exactly for high-grade serous ovarian cancer research. That specificity is our superpower — and it means we can outperform any general-purpose tool on the workflows that matter most to Dr. Amritha and her team.</w:t>
            </w:r>
          </w:p>
        </w:tc>
      </w:tr>
    </w:tbl>
    <w:p/>
    <w:p>
      <w:pPr>
        <w:keepNext/>
        <w:spacing w:before="320" w:after="120"/>
      </w:pPr>
      <w:r>
        <w:rPr>
          <w:b/>
          <w:color w:val="1A1A2E"/>
          <w:sz w:val="24"/>
        </w:rPr>
        <w:t>The Problem Space</w:t>
      </w:r>
    </w:p>
    <w:p>
      <w:pPr>
        <w:spacing w:after="160"/>
      </w:pPr>
      <w:r>
        <w:rPr>
          <w:sz w:val="21"/>
        </w:rPr>
        <w:t>Translational cancer research in 2026 requires a researcher to simultaneously work across at minimum five distinct technical domains: protein structure visualization (to understand BRCA1/2 mutations, PARP inhibitor binding), microscopy image analysis (IHC scoring, TMA analysis, IF multi-channel), ML/AI predictions (AlphaFold structure queries, variant effect scoring), genomics browsing (somatic mutations, copy number variants, scRNA-seq marker genes), and literature synthesis (systematic reviews, protocol extraction).</w:t>
      </w:r>
    </w:p>
    <w:p>
      <w:pPr>
        <w:spacing w:after="160"/>
      </w:pPr>
      <w:r>
        <w:rPr>
          <w:sz w:val="21"/>
        </w:rPr>
        <w:t>Today, a researcher at a cancer biology lab must switch between Chimera/PyMOL on a local workstation, QuPath on a server, a Galaxy instance for genomics, and NCBI/UCSC genome browsers — all while trying to synthesize findings into a paper. There is no unified workspace.</w:t>
      </w:r>
    </w:p>
    <w:tbl>
      <w:tblPr>
        <w:tblStyle w:val="TableGrid"/>
        <w:tblW w:type="auto" w:w="0"/>
        <w:jc w:val="left"/>
        <w:tblLook w:firstColumn="1" w:firstRow="1" w:lastColumn="0" w:lastRow="0" w:noHBand="0" w:noVBand="1" w:val="04A0"/>
      </w:tblPr>
      <w:tblGrid>
        <w:gridCol w:w="9406"/>
      </w:tblGrid>
      <w:tr>
        <w:tc>
          <w:tcPr>
            <w:tcW w:type="dxa" w:w="9360"/>
            <w:shd w:val="clear" w:color="auto" w:fill="06d6a0"/>
          </w:tcPr>
          <w:p>
            <w:r>
              <w:rPr>
                <w:b/>
                <w:color w:val="FFFFFF"/>
                <w:sz w:val="18"/>
              </w:rPr>
              <w:t>✦ The Q-onco Opportunity</w:t>
            </w:r>
          </w:p>
        </w:tc>
      </w:tr>
      <w:tr>
        <w:tc>
          <w:tcPr>
            <w:tcW w:type="dxa" w:w="9406"/>
            <w:shd w:val="clear" w:color="auto" w:fill="F8FAFC"/>
          </w:tcPr>
          <w:p>
            <w:pPr>
              <w:spacing w:before="80" w:after="80"/>
            </w:pPr>
            <w:r>
              <w:rPr>
                <w:sz w:val="20"/>
              </w:rPr>
              <w:t>Q-onco already has the research pipeline: notes, manuscript assistant, grant tools, literature search. Adding biotools creates a closed-loop research environment where a researcher can go from "PDB 4OVN loaded" to "BRCA1 RING domain annotated" to "mutation effect scored" to "figure generated for manuscript" without leaving the application. This is not incremental improvement — it is a paradigm shift.</w:t>
            </w:r>
          </w:p>
        </w:tc>
      </w:tr>
    </w:tbl>
    <w:p/>
    <w:p>
      <w:pPr>
        <w:keepNext/>
        <w:spacing w:before="320" w:after="120"/>
      </w:pPr>
      <w:r>
        <w:rPr>
          <w:b/>
          <w:color w:val="1A1A2E"/>
          <w:sz w:val="24"/>
        </w:rPr>
        <w:t>Feasibility — Everything Is Achievable in the Browser</w:t>
      </w:r>
    </w:p>
    <w:p>
      <w:pPr>
        <w:spacing w:after="160"/>
      </w:pPr>
      <w:r>
        <w:rPr>
          <w:sz w:val="21"/>
        </w:rPr>
        <w:t>After deep analysis of every component, the verdict is unambiguous: everything we want to build is achievable in a browser-native PWA. Here is why this was not possible five years ago but is now:</w:t>
      </w:r>
    </w:p>
    <w:p>
      <w:pPr>
        <w:pStyle w:val="ListBullet"/>
        <w:spacing w:after="80"/>
        <w:ind w:left="432"/>
      </w:pPr>
      <w:r>
        <w:rPr>
          <w:sz w:val="20"/>
        </w:rPr>
        <w:t>WebGL2 (universally supported 2022+) — gives us a full GPU rendering pipeline. Mol* uses this to render 100,000-atom structures at 60fps.</w:t>
      </w:r>
    </w:p>
    <w:p>
      <w:pPr>
        <w:pStyle w:val="ListBullet"/>
        <w:spacing w:after="80"/>
        <w:ind w:left="432"/>
      </w:pPr>
      <w:r>
        <w:rPr>
          <w:sz w:val="20"/>
        </w:rPr>
        <w:t>WebAssembly (WASM) — allows C++/Rust code to run in the browser at near-native speed. AutoDock Vina, OpenBabel, and RDKit are all now compiled to WASM.</w:t>
      </w:r>
    </w:p>
    <w:p>
      <w:pPr>
        <w:pStyle w:val="ListBullet"/>
        <w:spacing w:after="80"/>
        <w:ind w:left="432"/>
      </w:pPr>
      <w:r>
        <w:rPr>
          <w:sz w:val="20"/>
        </w:rPr>
        <w:t>ONNX Runtime Web (WebGL Execution Provider) — runs deep learning models (Cellpose, StarDist, ESM-2) entirely in the browser using the GPU.</w:t>
      </w:r>
    </w:p>
    <w:p>
      <w:pPr>
        <w:pStyle w:val="ListBullet"/>
        <w:spacing w:after="80"/>
        <w:ind w:left="432"/>
      </w:pPr>
      <w:r>
        <w:rPr>
          <w:sz w:val="20"/>
        </w:rPr>
        <w:t>SharedArrayBuffer + Web Workers — true multi-threading in the browser for FFT, image convolution, and heavy compute off the main thread.</w:t>
      </w:r>
    </w:p>
    <w:p>
      <w:pPr>
        <w:pStyle w:val="ListBullet"/>
        <w:spacing w:after="80"/>
        <w:ind w:left="432"/>
      </w:pPr>
      <w:r>
        <w:rPr>
          <w:sz w:val="20"/>
        </w:rPr>
        <w:t>File System Access API — browsers can now read local TIFF stacks, BAM files, and VCF files directly without upload.</w:t>
      </w:r>
    </w:p>
    <w:p>
      <w:pPr>
        <w:keepNext/>
        <w:spacing w:before="320" w:after="120"/>
      </w:pPr>
      <w:r>
        <w:rPr>
          <w:b/>
          <w:color w:val="1A1A2E"/>
          <w:sz w:val="24"/>
        </w:rPr>
        <w:t>Build Strategy Overview</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440"/>
            <w:shd w:val="clear" w:color="auto" w:fill="1a1a2e"/>
          </w:tcPr>
          <w:p>
            <w:r>
              <w:rPr>
                <w:b/>
                <w:color w:val="FFFFFF"/>
                <w:sz w:val="17"/>
              </w:rPr>
              <w:t>Phase</w:t>
            </w:r>
          </w:p>
        </w:tc>
        <w:tc>
          <w:tcPr>
            <w:tcW w:type="dxa" w:w="1728"/>
            <w:shd w:val="clear" w:color="auto" w:fill="1a1a2e"/>
          </w:tcPr>
          <w:p>
            <w:r>
              <w:rPr>
                <w:b/>
                <w:color w:val="FFFFFF"/>
                <w:sz w:val="17"/>
              </w:rPr>
              <w:t>Timeline</w:t>
            </w:r>
          </w:p>
        </w:tc>
        <w:tc>
          <w:tcPr>
            <w:tcW w:type="dxa" w:w="2592"/>
            <w:shd w:val="clear" w:color="auto" w:fill="1a1a2e"/>
          </w:tcPr>
          <w:p>
            <w:r>
              <w:rPr>
                <w:b/>
                <w:color w:val="FFFFFF"/>
                <w:sz w:val="17"/>
              </w:rPr>
              <w:t>Focus</w:t>
            </w:r>
          </w:p>
        </w:tc>
        <w:tc>
          <w:tcPr>
            <w:tcW w:type="dxa" w:w="4176"/>
            <w:shd w:val="clear" w:color="auto" w:fill="1a1a2e"/>
          </w:tcPr>
          <w:p>
            <w:r>
              <w:rPr>
                <w:b/>
                <w:color w:val="FFFFFF"/>
                <w:sz w:val="17"/>
              </w:rPr>
              <w:t>Deliverable</w:t>
            </w:r>
          </w:p>
        </w:tc>
      </w:tr>
      <w:tr>
        <w:tc>
          <w:tcPr>
            <w:tcW w:type="dxa" w:w="1440"/>
            <w:shd w:val="clear" w:color="auto" w:fill="FFFFFF"/>
          </w:tcPr>
          <w:p>
            <w:r>
              <w:rPr>
                <w:sz w:val="18"/>
              </w:rPr>
              <w:t>Phase 1</w:t>
            </w:r>
          </w:p>
        </w:tc>
        <w:tc>
          <w:tcPr>
            <w:tcW w:type="dxa" w:w="1728"/>
            <w:shd w:val="clear" w:color="auto" w:fill="FFFFFF"/>
          </w:tcPr>
          <w:p>
            <w:r>
              <w:rPr>
                <w:sz w:val="18"/>
              </w:rPr>
              <w:t>Weeks 1–4</w:t>
            </w:r>
          </w:p>
        </w:tc>
        <w:tc>
          <w:tcPr>
            <w:tcW w:type="dxa" w:w="2592"/>
            <w:shd w:val="clear" w:color="auto" w:fill="FFFFFF"/>
          </w:tcPr>
          <w:p>
            <w:r>
              <w:rPr>
                <w:sz w:val="18"/>
              </w:rPr>
              <w:t>Embed + Annotate</w:t>
            </w:r>
          </w:p>
        </w:tc>
        <w:tc>
          <w:tcPr>
            <w:tcW w:type="dxa" w:w="4176"/>
            <w:shd w:val="clear" w:color="auto" w:fill="FFFFFF"/>
          </w:tcPr>
          <w:p>
            <w:r>
              <w:rPr>
                <w:sz w:val="18"/>
              </w:rPr>
              <w:t>Mol* + AlphaFold + IGV.js + HGSOC annotations</w:t>
            </w:r>
          </w:p>
        </w:tc>
      </w:tr>
      <w:tr>
        <w:tc>
          <w:tcPr>
            <w:tcW w:type="dxa" w:w="1440"/>
            <w:shd w:val="clear" w:color="auto" w:fill="F1F5F9"/>
          </w:tcPr>
          <w:p>
            <w:r>
              <w:rPr>
                <w:sz w:val="18"/>
              </w:rPr>
              <w:t>Phase 2</w:t>
            </w:r>
          </w:p>
        </w:tc>
        <w:tc>
          <w:tcPr>
            <w:tcW w:type="dxa" w:w="1728"/>
            <w:shd w:val="clear" w:color="auto" w:fill="F1F5F9"/>
          </w:tcPr>
          <w:p>
            <w:r>
              <w:rPr>
                <w:sz w:val="18"/>
              </w:rPr>
              <w:t>Weeks 5–10</w:t>
            </w:r>
          </w:p>
        </w:tc>
        <w:tc>
          <w:tcPr>
            <w:tcW w:type="dxa" w:w="2592"/>
            <w:shd w:val="clear" w:color="auto" w:fill="F1F5F9"/>
          </w:tcPr>
          <w:p>
            <w:r>
              <w:rPr>
                <w:sz w:val="18"/>
              </w:rPr>
              <w:t>WASM + ONNX Compute</w:t>
            </w:r>
          </w:p>
        </w:tc>
        <w:tc>
          <w:tcPr>
            <w:tcW w:type="dxa" w:w="4176"/>
            <w:shd w:val="clear" w:color="auto" w:fill="F1F5F9"/>
          </w:tcPr>
          <w:p>
            <w:r>
              <w:rPr>
                <w:sz w:val="18"/>
              </w:rPr>
              <w:t>Vina docking + Cellpose + ESM-2 scoring</w:t>
            </w:r>
          </w:p>
        </w:tc>
      </w:tr>
      <w:tr>
        <w:tc>
          <w:tcPr>
            <w:tcW w:type="dxa" w:w="1440"/>
            <w:shd w:val="clear" w:color="auto" w:fill="FFFFFF"/>
          </w:tcPr>
          <w:p>
            <w:r>
              <w:rPr>
                <w:sz w:val="18"/>
              </w:rPr>
              <w:t>Phase 3</w:t>
            </w:r>
          </w:p>
        </w:tc>
        <w:tc>
          <w:tcPr>
            <w:tcW w:type="dxa" w:w="1728"/>
            <w:shd w:val="clear" w:color="auto" w:fill="FFFFFF"/>
          </w:tcPr>
          <w:p>
            <w:r>
              <w:rPr>
                <w:sz w:val="18"/>
              </w:rPr>
              <w:t>Weeks 11–16</w:t>
            </w:r>
          </w:p>
        </w:tc>
        <w:tc>
          <w:tcPr>
            <w:tcW w:type="dxa" w:w="2592"/>
            <w:shd w:val="clear" w:color="auto" w:fill="FFFFFF"/>
          </w:tcPr>
          <w:p>
            <w:r>
              <w:rPr>
                <w:sz w:val="18"/>
              </w:rPr>
              <w:t>Custom Renderers</w:t>
            </w:r>
          </w:p>
        </w:tc>
        <w:tc>
          <w:tcPr>
            <w:tcW w:type="dxa" w:w="4176"/>
            <w:shd w:val="clear" w:color="auto" w:fill="FFFFFF"/>
          </w:tcPr>
          <w:p>
            <w:r>
              <w:rPr>
                <w:sz w:val="18"/>
              </w:rPr>
              <w:t>WebGL2 IF viewer + Custom molecular renderer</w:t>
            </w:r>
          </w:p>
        </w:tc>
      </w:tr>
    </w:tbl>
    <w:p/>
    <w:p>
      <w:r>
        <w:br w:type="page"/>
      </w:r>
    </w:p>
    <w:p>
      <w:pPr>
        <w:keepNext/>
        <w:spacing w:before="480" w:after="80"/>
      </w:pPr>
      <w:r>
        <w:rPr>
          <w:b/>
          <w:color w:val="E94560"/>
          <w:sz w:val="18"/>
        </w:rPr>
        <w:t xml:space="preserve">02  </w:t>
      </w:r>
      <w:r>
        <w:rPr>
          <w:b/>
          <w:color w:val="1A1A2E"/>
          <w:sz w:val="32"/>
        </w:rPr>
        <w:t>Molecular Visualization: A Full Teardown</w:t>
      </w:r>
    </w:p>
    <w:tbl>
      <w:tblPr>
        <w:tblStyle w:val="TableGrid"/>
        <w:tblW w:type="auto" w:w="0"/>
        <w:jc w:val="left"/>
        <w:tblLook w:firstColumn="1" w:firstRow="1" w:lastColumn="0" w:lastRow="0" w:noHBand="0" w:noVBand="1" w:val="04A0"/>
      </w:tblPr>
      <w:tblGrid>
        <w:gridCol w:w="9406"/>
      </w:tblGrid>
      <w:tr>
        <w:tc>
          <w:tcPr>
            <w:tcW w:type="dxa" w:w="9360"/>
            <w:shd w:val="clear" w:color="auto" w:fill="0f3460"/>
          </w:tcPr>
          <w:p>
            <w:r>
              <w:rPr>
                <w:b/>
                <w:color w:val="FFFFFF"/>
                <w:sz w:val="18"/>
              </w:rPr>
              <w:t>🔬 Context</w:t>
            </w:r>
          </w:p>
        </w:tc>
      </w:tr>
      <w:tr>
        <w:tc>
          <w:tcPr>
            <w:tcW w:type="dxa" w:w="9406"/>
            <w:shd w:val="clear" w:color="auto" w:fill="F8FAFC"/>
          </w:tcPr>
          <w:p>
            <w:pPr>
              <w:spacing w:before="80" w:after="80"/>
            </w:pPr>
            <w:r>
              <w:rPr>
                <w:sz w:val="20"/>
              </w:rPr>
              <w:t>Protein structure visualization is the core tool for understanding BRCA1/2 mutations, PARP inhibitor binding modes, and HGSOC-relevant protein complexes like BRCA1-BARD1. Every researcher needs to look at PDB structures. The question is which architecture lets us build the most powerful, context-aware version.</w:t>
            </w:r>
          </w:p>
        </w:tc>
      </w:tr>
    </w:tbl>
    <w:p/>
    <w:p>
      <w:pPr>
        <w:keepNext/>
        <w:spacing w:before="320" w:after="120"/>
      </w:pPr>
      <w:r>
        <w:rPr>
          <w:b/>
          <w:color w:val="1A1A2E"/>
          <w:sz w:val="24"/>
        </w:rPr>
        <w:t>Mol* (MolStar)</w:t>
      </w:r>
    </w:p>
    <w:p>
      <w:pPr>
        <w:spacing w:after="160"/>
      </w:pPr>
      <w:r>
        <w:rPr>
          <w:b w:val="0"/>
          <w:i w:val="0"/>
          <w:color w:val="6B7280"/>
          <w:sz w:val="17"/>
        </w:rPr>
        <w:t>molstar.org · MIT License · ~2MB gzipped · npm: molstar</w:t>
      </w:r>
    </w:p>
    <w:p>
      <w:pPr>
        <w:spacing w:before="200" w:after="80"/>
      </w:pPr>
      <w:r>
        <w:rPr>
          <w:b/>
          <w:color w:val="0F3460"/>
          <w:sz w:val="17"/>
        </w:rPr>
        <w:t>WHY IT IS BUILT THIS WAY</w:t>
      </w:r>
    </w:p>
    <w:p>
      <w:pPr>
        <w:spacing w:after="160"/>
      </w:pPr>
      <w:r>
        <w:rPr>
          <w:sz w:val="21"/>
        </w:rPr>
        <w:t>Mol* was built by David Sehnal, Alexander Rose, and the RCSB PDB/PDBe teams to replace Jmol and NGL as the standard web viewer. The key design decisions all trace to one constraint: it must handle the entire PDB at any scale. The PDB's largest entries have 100M+ atoms (entire virus capsids, ribosomes). Most viewers collapse at this scale. Mol* does not, because of three architectural commitments:</w:t>
      </w:r>
    </w:p>
    <w:p>
      <w:pPr>
        <w:spacing w:after="160"/>
      </w:pPr>
      <w:r>
        <w:rPr>
          <w:sz w:val="21"/>
        </w:rPr>
        <w:t>1. Custom WebGL2 renderer: Rather than wrapping Three.js, the Mol* team wrote their own GPU rendering engine using instanced geometry — you describe a sphere once on the GPU, then render all 50,000 atoms as instances in a single draw call. This is why Mol* renders the ribosome at 60fps and Three.js-based viewers cannot.</w:t>
      </w:r>
    </w:p>
    <w:p>
      <w:pPr>
        <w:spacing w:after="160"/>
      </w:pPr>
      <w:r>
        <w:rPr>
          <w:sz w:val="21"/>
        </w:rPr>
        <w:t>2. Plugin/Behavior architecture: Mol* uses dependency injection with a central PluginContext. Every feature is a behavior that registers itself. We can write HGSOC-specific behaviors (BRCA1 mutation highlight, PARP binding pocket annotation) as plugins without forking the core.</w:t>
      </w:r>
    </w:p>
    <w:p>
      <w:pPr>
        <w:spacing w:after="160"/>
      </w:pPr>
      <w:r>
        <w:rPr>
          <w:sz w:val="21"/>
        </w:rPr>
        <w:t>3. MOLJ/MOLX state serialization: Mol* can serialize the complete viewer state — camera position, selections, colorings, annotations — into a JSON file. For Q-onco, this means a researcher can annotate a structure and save it to encrypted GitHub storage, then reload it weeks later in the exact same state.</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728"/>
            <w:shd w:val="clear" w:color="auto" w:fill="1a1a2e"/>
          </w:tcPr>
          <w:p>
            <w:r>
              <w:rPr>
                <w:b/>
                <w:color w:val="FFFFFF"/>
                <w:sz w:val="17"/>
              </w:rPr>
              <w:t>Tool</w:t>
            </w:r>
          </w:p>
        </w:tc>
        <w:tc>
          <w:tcPr>
            <w:tcW w:type="dxa" w:w="1728"/>
            <w:shd w:val="clear" w:color="auto" w:fill="1a1a2e"/>
          </w:tcPr>
          <w:p>
            <w:r>
              <w:rPr>
                <w:b/>
                <w:color w:val="FFFFFF"/>
                <w:sz w:val="17"/>
              </w:rPr>
              <w:t>Bundle Size</w:t>
            </w:r>
          </w:p>
        </w:tc>
        <w:tc>
          <w:tcPr>
            <w:tcW w:type="dxa" w:w="1872"/>
            <w:shd w:val="clear" w:color="auto" w:fill="1a1a2e"/>
          </w:tcPr>
          <w:p>
            <w:r>
              <w:rPr>
                <w:b/>
                <w:color w:val="FFFFFF"/>
                <w:sz w:val="17"/>
              </w:rPr>
              <w:t>Max Atoms (60fps)</w:t>
            </w:r>
          </w:p>
        </w:tc>
        <w:tc>
          <w:tcPr>
            <w:tcW w:type="dxa" w:w="1584"/>
            <w:shd w:val="clear" w:color="auto" w:fill="1a1a2e"/>
          </w:tcPr>
          <w:p>
            <w:r>
              <w:rPr>
                <w:b/>
                <w:color w:val="FFFFFF"/>
                <w:sz w:val="17"/>
              </w:rPr>
              <w:t>State Save</w:t>
            </w:r>
          </w:p>
        </w:tc>
        <w:tc>
          <w:tcPr>
            <w:tcW w:type="dxa" w:w="1152"/>
            <w:shd w:val="clear" w:color="auto" w:fill="1a1a2e"/>
          </w:tcPr>
          <w:p>
            <w:r>
              <w:rPr>
                <w:b/>
                <w:color w:val="FFFFFF"/>
                <w:sz w:val="17"/>
              </w:rPr>
              <w:t>PDBQT</w:t>
            </w:r>
          </w:p>
        </w:tc>
        <w:tc>
          <w:tcPr>
            <w:tcW w:type="dxa" w:w="1296"/>
            <w:shd w:val="clear" w:color="auto" w:fill="1a1a2e"/>
          </w:tcPr>
          <w:p>
            <w:r>
              <w:rPr>
                <w:b/>
                <w:color w:val="FFFFFF"/>
                <w:sz w:val="17"/>
              </w:rPr>
              <w:t>License</w:t>
            </w:r>
          </w:p>
        </w:tc>
      </w:tr>
      <w:tr>
        <w:tc>
          <w:tcPr>
            <w:tcW w:type="dxa" w:w="1728"/>
            <w:shd w:val="clear" w:color="auto" w:fill="FFFFFF"/>
          </w:tcPr>
          <w:p>
            <w:r>
              <w:rPr>
                <w:sz w:val="18"/>
              </w:rPr>
              <w:t>Mol*</w:t>
            </w:r>
          </w:p>
        </w:tc>
        <w:tc>
          <w:tcPr>
            <w:tcW w:type="dxa" w:w="1728"/>
            <w:shd w:val="clear" w:color="auto" w:fill="FFFFFF"/>
          </w:tcPr>
          <w:p>
            <w:r>
              <w:rPr>
                <w:sz w:val="18"/>
              </w:rPr>
              <w:t>~2MB</w:t>
            </w:r>
          </w:p>
        </w:tc>
        <w:tc>
          <w:tcPr>
            <w:tcW w:type="dxa" w:w="1872"/>
            <w:shd w:val="clear" w:color="auto" w:fill="FFFFFF"/>
          </w:tcPr>
          <w:p>
            <w:r>
              <w:rPr>
                <w:sz w:val="18"/>
              </w:rPr>
              <w:t>10M+</w:t>
            </w:r>
          </w:p>
        </w:tc>
        <w:tc>
          <w:tcPr>
            <w:tcW w:type="dxa" w:w="1584"/>
            <w:shd w:val="clear" w:color="auto" w:fill="FFFFFF"/>
          </w:tcPr>
          <w:p>
            <w:r>
              <w:rPr>
                <w:sz w:val="18"/>
              </w:rPr>
              <w:t>Yes (MOLJ)</w:t>
            </w:r>
          </w:p>
        </w:tc>
        <w:tc>
          <w:tcPr>
            <w:tcW w:type="dxa" w:w="1152"/>
            <w:shd w:val="clear" w:color="auto" w:fill="FFFFFF"/>
          </w:tcPr>
          <w:p>
            <w:r>
              <w:rPr>
                <w:sz w:val="18"/>
              </w:rPr>
              <w:t>No</w:t>
            </w:r>
          </w:p>
        </w:tc>
        <w:tc>
          <w:tcPr>
            <w:tcW w:type="dxa" w:w="1296"/>
            <w:shd w:val="clear" w:color="auto" w:fill="FFFFFF"/>
          </w:tcPr>
          <w:p>
            <w:r>
              <w:rPr>
                <w:sz w:val="18"/>
              </w:rPr>
              <w:t>MIT</w:t>
            </w:r>
          </w:p>
        </w:tc>
      </w:tr>
      <w:tr>
        <w:tc>
          <w:tcPr>
            <w:tcW w:type="dxa" w:w="1728"/>
            <w:shd w:val="clear" w:color="auto" w:fill="F1F5F9"/>
          </w:tcPr>
          <w:p>
            <w:r>
              <w:rPr>
                <w:sz w:val="18"/>
              </w:rPr>
              <w:t>NGL</w:t>
            </w:r>
          </w:p>
        </w:tc>
        <w:tc>
          <w:tcPr>
            <w:tcW w:type="dxa" w:w="1728"/>
            <w:shd w:val="clear" w:color="auto" w:fill="F1F5F9"/>
          </w:tcPr>
          <w:p>
            <w:r>
              <w:rPr>
                <w:sz w:val="18"/>
              </w:rPr>
              <w:t>~800KB</w:t>
            </w:r>
          </w:p>
        </w:tc>
        <w:tc>
          <w:tcPr>
            <w:tcW w:type="dxa" w:w="1872"/>
            <w:shd w:val="clear" w:color="auto" w:fill="F1F5F9"/>
          </w:tcPr>
          <w:p>
            <w:r>
              <w:rPr>
                <w:sz w:val="18"/>
              </w:rPr>
              <w:t>~200K</w:t>
            </w:r>
          </w:p>
        </w:tc>
        <w:tc>
          <w:tcPr>
            <w:tcW w:type="dxa" w:w="1584"/>
            <w:shd w:val="clear" w:color="auto" w:fill="F1F5F9"/>
          </w:tcPr>
          <w:p>
            <w:r>
              <w:rPr>
                <w:sz w:val="18"/>
              </w:rPr>
              <w:t>No</w:t>
            </w:r>
          </w:p>
        </w:tc>
        <w:tc>
          <w:tcPr>
            <w:tcW w:type="dxa" w:w="1152"/>
            <w:shd w:val="clear" w:color="auto" w:fill="F1F5F9"/>
          </w:tcPr>
          <w:p>
            <w:r>
              <w:rPr>
                <w:sz w:val="18"/>
              </w:rPr>
              <w:t>No</w:t>
            </w:r>
          </w:p>
        </w:tc>
        <w:tc>
          <w:tcPr>
            <w:tcW w:type="dxa" w:w="1296"/>
            <w:shd w:val="clear" w:color="auto" w:fill="F1F5F9"/>
          </w:tcPr>
          <w:p>
            <w:r>
              <w:rPr>
                <w:sz w:val="18"/>
              </w:rPr>
              <w:t>MIT</w:t>
            </w:r>
          </w:p>
        </w:tc>
      </w:tr>
      <w:tr>
        <w:tc>
          <w:tcPr>
            <w:tcW w:type="dxa" w:w="1728"/>
            <w:shd w:val="clear" w:color="auto" w:fill="FFFFFF"/>
          </w:tcPr>
          <w:p>
            <w:r>
              <w:rPr>
                <w:sz w:val="18"/>
              </w:rPr>
              <w:t>3Dmol</w:t>
            </w:r>
          </w:p>
        </w:tc>
        <w:tc>
          <w:tcPr>
            <w:tcW w:type="dxa" w:w="1728"/>
            <w:shd w:val="clear" w:color="auto" w:fill="FFFFFF"/>
          </w:tcPr>
          <w:p>
            <w:r>
              <w:rPr>
                <w:sz w:val="18"/>
              </w:rPr>
              <w:t>~600KB</w:t>
            </w:r>
          </w:p>
        </w:tc>
        <w:tc>
          <w:tcPr>
            <w:tcW w:type="dxa" w:w="1872"/>
            <w:shd w:val="clear" w:color="auto" w:fill="FFFFFF"/>
          </w:tcPr>
          <w:p>
            <w:r>
              <w:rPr>
                <w:sz w:val="18"/>
              </w:rPr>
              <w:t>~50K</w:t>
            </w:r>
          </w:p>
        </w:tc>
        <w:tc>
          <w:tcPr>
            <w:tcW w:type="dxa" w:w="1584"/>
            <w:shd w:val="clear" w:color="auto" w:fill="FFFFFF"/>
          </w:tcPr>
          <w:p>
            <w:r>
              <w:rPr>
                <w:sz w:val="18"/>
              </w:rPr>
              <w:t>No</w:t>
            </w:r>
          </w:p>
        </w:tc>
        <w:tc>
          <w:tcPr>
            <w:tcW w:type="dxa" w:w="1152"/>
            <w:shd w:val="clear" w:color="auto" w:fill="FFFFFF"/>
          </w:tcPr>
          <w:p>
            <w:r>
              <w:rPr>
                <w:sz w:val="18"/>
              </w:rPr>
              <w:t>Yes</w:t>
            </w:r>
          </w:p>
        </w:tc>
        <w:tc>
          <w:tcPr>
            <w:tcW w:type="dxa" w:w="1296"/>
            <w:shd w:val="clear" w:color="auto" w:fill="FFFFFF"/>
          </w:tcPr>
          <w:p>
            <w:r>
              <w:rPr>
                <w:sz w:val="18"/>
              </w:rPr>
              <w:t>BSD-3</w:t>
            </w:r>
          </w:p>
        </w:tc>
      </w:tr>
      <w:tr>
        <w:tc>
          <w:tcPr>
            <w:tcW w:type="dxa" w:w="1728"/>
            <w:shd w:val="clear" w:color="auto" w:fill="F1F5F9"/>
          </w:tcPr>
          <w:p>
            <w:r>
              <w:rPr>
                <w:sz w:val="18"/>
              </w:rPr>
              <w:t>Speck</w:t>
            </w:r>
          </w:p>
        </w:tc>
        <w:tc>
          <w:tcPr>
            <w:tcW w:type="dxa" w:w="1728"/>
            <w:shd w:val="clear" w:color="auto" w:fill="F1F5F9"/>
          </w:tcPr>
          <w:p>
            <w:r>
              <w:rPr>
                <w:sz w:val="18"/>
              </w:rPr>
              <w:t>~200KB</w:t>
            </w:r>
          </w:p>
        </w:tc>
        <w:tc>
          <w:tcPr>
            <w:tcW w:type="dxa" w:w="1872"/>
            <w:shd w:val="clear" w:color="auto" w:fill="F1F5F9"/>
          </w:tcPr>
          <w:p>
            <w:r>
              <w:rPr>
                <w:sz w:val="18"/>
              </w:rPr>
              <w:t>~5K</w:t>
            </w:r>
          </w:p>
        </w:tc>
        <w:tc>
          <w:tcPr>
            <w:tcW w:type="dxa" w:w="1584"/>
            <w:shd w:val="clear" w:color="auto" w:fill="F1F5F9"/>
          </w:tcPr>
          <w:p>
            <w:r>
              <w:rPr>
                <w:sz w:val="18"/>
              </w:rPr>
              <w:t>No</w:t>
            </w:r>
          </w:p>
        </w:tc>
        <w:tc>
          <w:tcPr>
            <w:tcW w:type="dxa" w:w="1152"/>
            <w:shd w:val="clear" w:color="auto" w:fill="F1F5F9"/>
          </w:tcPr>
          <w:p>
            <w:r>
              <w:rPr>
                <w:sz w:val="18"/>
              </w:rPr>
              <w:t>No</w:t>
            </w:r>
          </w:p>
        </w:tc>
        <w:tc>
          <w:tcPr>
            <w:tcW w:type="dxa" w:w="1296"/>
            <w:shd w:val="clear" w:color="auto" w:fill="F1F5F9"/>
          </w:tcPr>
          <w:p>
            <w:r>
              <w:rPr>
                <w:sz w:val="18"/>
              </w:rPr>
              <w:t>MIT</w:t>
            </w:r>
          </w:p>
        </w:tc>
      </w:tr>
      <w:tr>
        <w:tc>
          <w:tcPr>
            <w:tcW w:type="dxa" w:w="1728"/>
            <w:shd w:val="clear" w:color="auto" w:fill="FFFFFF"/>
          </w:tcPr>
          <w:p>
            <w:r>
              <w:rPr>
                <w:sz w:val="18"/>
              </w:rPr>
              <w:t>Custom</w:t>
            </w:r>
          </w:p>
        </w:tc>
        <w:tc>
          <w:tcPr>
            <w:tcW w:type="dxa" w:w="1728"/>
            <w:shd w:val="clear" w:color="auto" w:fill="FFFFFF"/>
          </w:tcPr>
          <w:p>
            <w:r>
              <w:rPr>
                <w:sz w:val="18"/>
              </w:rPr>
              <w:t>~300KB</w:t>
            </w:r>
          </w:p>
        </w:tc>
        <w:tc>
          <w:tcPr>
            <w:tcW w:type="dxa" w:w="1872"/>
            <w:shd w:val="clear" w:color="auto" w:fill="FFFFFF"/>
          </w:tcPr>
          <w:p>
            <w:r>
              <w:rPr>
                <w:sz w:val="18"/>
              </w:rPr>
              <w:t>~500K</w:t>
            </w:r>
          </w:p>
        </w:tc>
        <w:tc>
          <w:tcPr>
            <w:tcW w:type="dxa" w:w="1584"/>
            <w:shd w:val="clear" w:color="auto" w:fill="FFFFFF"/>
          </w:tcPr>
          <w:p>
            <w:r>
              <w:rPr>
                <w:sz w:val="18"/>
              </w:rPr>
              <w:t>Yes (JSON)</w:t>
            </w:r>
          </w:p>
        </w:tc>
        <w:tc>
          <w:tcPr>
            <w:tcW w:type="dxa" w:w="1152"/>
            <w:shd w:val="clear" w:color="auto" w:fill="FFFFFF"/>
          </w:tcPr>
          <w:p>
            <w:r>
              <w:rPr>
                <w:sz w:val="18"/>
              </w:rPr>
              <w:t>Yes</w:t>
            </w:r>
          </w:p>
        </w:tc>
        <w:tc>
          <w:tcPr>
            <w:tcW w:type="dxa" w:w="1296"/>
            <w:shd w:val="clear" w:color="auto" w:fill="FFFFFF"/>
          </w:tcPr>
          <w:p>
            <w:r>
              <w:rPr>
                <w:sz w:val="18"/>
              </w:rPr>
              <w:t>Ours</w:t>
            </w:r>
          </w:p>
        </w:tc>
      </w:tr>
    </w:tbl>
    <w:p/>
    <w:p>
      <w:pPr>
        <w:keepNext/>
        <w:spacing w:before="320" w:after="120"/>
      </w:pPr>
      <w:r>
        <w:rPr>
          <w:b/>
          <w:color w:val="1A1A2E"/>
          <w:sz w:val="24"/>
        </w:rPr>
        <w:t>NGL Viewer</w:t>
      </w:r>
    </w:p>
    <w:p>
      <w:pPr>
        <w:spacing w:after="160"/>
      </w:pPr>
      <w:r>
        <w:rPr>
          <w:sz w:val="21"/>
        </w:rPr>
        <w:t>NGL was built by Alexander Rose (who later led Mol*) as his PhD project at UCSF. Its design philosophy was simpler than Jmol, more capable than iCn3D. NGL uses Three.js under the hood, giving it the scene graph overhead but also Three.js's ecosystem. The file format support is NGL's real strength: 30+ formats natively. For HGSOC proteins (typically 200–2000 residues), Three.js limitations are never a problem.</w:t>
      </w:r>
    </w:p>
    <w:p>
      <w:pPr>
        <w:keepNext/>
        <w:spacing w:before="320" w:after="120"/>
      </w:pPr>
      <w:r>
        <w:rPr>
          <w:b/>
          <w:color w:val="1A1A2E"/>
          <w:sz w:val="24"/>
        </w:rPr>
        <w:t>3Dmol.js</w:t>
      </w:r>
    </w:p>
    <w:p>
      <w:pPr>
        <w:spacing w:after="160"/>
      </w:pPr>
      <w:r>
        <w:rPr>
          <w:sz w:val="21"/>
        </w:rPr>
        <w:t>3Dmol.js was built at University of Pittsburgh specifically for computational chemistry — docking poses, small molecule visualization, and PDBQT format. This explains its unique strength: native PDBQT support. Every other viewer requires conversion from PDBQT to SDF/MOL2 before display. 3Dmol.js reads it directly, making it the natural companion to our Vina WASM docking pipeline.</w:t>
      </w:r>
    </w:p>
    <w:p>
      <w:pPr>
        <w:keepNext/>
        <w:spacing w:before="320" w:after="120"/>
      </w:pPr>
      <w:r>
        <w:rPr>
          <w:b/>
          <w:color w:val="1A1A2E"/>
          <w:sz w:val="24"/>
        </w:rPr>
        <w:t>Speck — The AO Sphere Trick</w:t>
      </w:r>
    </w:p>
    <w:p>
      <w:pPr>
        <w:spacing w:after="160"/>
      </w:pPr>
      <w:r>
        <w:rPr>
          <w:sz w:val="21"/>
        </w:rPr>
        <w:t>Speck is built around one beautiful insight: ambient occlusion (AO) rendering makes molecules look photorealistic, but real-time AO is expensive. Speck's solution: a software rasterizer running in a Web Worker pre-computes AO contributions, then uploads the result as a WebGL texture. The GPU texture-maps the pre-computed AO onto spheres. Result: strikingly beautiful renders that look like CGI paper figures — from a 200KB library.</w:t>
      </w:r>
    </w:p>
    <w:p>
      <w:r>
        <w:br w:type="page"/>
      </w:r>
    </w:p>
    <w:p>
      <w:pPr>
        <w:keepNext/>
        <w:spacing w:before="480" w:after="80"/>
      </w:pPr>
      <w:r>
        <w:rPr>
          <w:b/>
          <w:color w:val="E94560"/>
          <w:sz w:val="18"/>
        </w:rPr>
        <w:t xml:space="preserve">03  </w:t>
      </w:r>
      <w:r>
        <w:rPr>
          <w:b/>
          <w:color w:val="1A1A2E"/>
          <w:sz w:val="32"/>
        </w:rPr>
        <w:t>Microscopy &amp; Image Analysis</w:t>
      </w:r>
    </w:p>
    <w:tbl>
      <w:tblPr>
        <w:tblStyle w:val="TableGrid"/>
        <w:tblW w:type="auto" w:w="0"/>
        <w:jc w:val="left"/>
        <w:tblLook w:firstColumn="1" w:firstRow="1" w:lastColumn="0" w:lastRow="0" w:noHBand="0" w:noVBand="1" w:val="04A0"/>
      </w:tblPr>
      <w:tblGrid>
        <w:gridCol w:w="9406"/>
      </w:tblGrid>
      <w:tr>
        <w:tc>
          <w:tcPr>
            <w:tcW w:type="dxa" w:w="9360"/>
            <w:shd w:val="clear" w:color="auto" w:fill="0f3460"/>
          </w:tcPr>
          <w:p>
            <w:r>
              <w:rPr>
                <w:b/>
                <w:color w:val="FFFFFF"/>
                <w:sz w:val="18"/>
              </w:rPr>
              <w:t>🔭 The Microscopy Challenge</w:t>
            </w:r>
          </w:p>
        </w:tc>
      </w:tr>
      <w:tr>
        <w:tc>
          <w:tcPr>
            <w:tcW w:type="dxa" w:w="9406"/>
            <w:shd w:val="clear" w:color="auto" w:fill="F8FAFC"/>
          </w:tcPr>
          <w:p>
            <w:pPr>
              <w:spacing w:before="80" w:after="80"/>
            </w:pPr>
            <w:r>
              <w:rPr>
                <w:sz w:val="20"/>
              </w:rPr>
              <w:t>HGSOC microscopy data is some of the most complex imaging data in cancer biology: TMA cores, multiplexed IF with 6–10 channels, H&amp;E whole-slide images at 40× resolution, and live-cell imaging for drug response. The tools in this space were built by and for computational biologists with local computing resources. Our mission: bring this to the browser.</w:t>
            </w:r>
          </w:p>
        </w:tc>
      </w:tr>
    </w:tbl>
    <w:p/>
    <w:p>
      <w:pPr>
        <w:keepNext/>
        <w:spacing w:before="320" w:after="120"/>
      </w:pPr>
      <w:r>
        <w:rPr>
          <w:b/>
          <w:color w:val="1A1A2E"/>
          <w:sz w:val="24"/>
        </w:rPr>
        <w:t>Cellpose — The Gradient Field Trick</w:t>
      </w:r>
    </w:p>
    <w:p>
      <w:pPr>
        <w:spacing w:after="160"/>
      </w:pPr>
      <w:r>
        <w:rPr>
          <w:sz w:val="21"/>
        </w:rPr>
        <w:t>Cellpose was built by Carsen Stringer and Marius Pachitariu at Janelia Research to solve the hardest problem in cell segmentation: overlapping, touching cells that classical watershed algorithms cannot separate. The solution: instead of predicting cell boundaries directly, Cellpose predicts a gradient field — a vector at every pixel pointing toward the cell's center of mass. Cells that are spatially separate flow to different centers. Segmentation falls out of the flow dynamics, not boundary detection.</w:t>
      </w:r>
    </w:p>
    <w:p>
      <w:pPr>
        <w:spacing w:after="160"/>
      </w:pPr>
      <w:r>
        <w:rPr>
          <w:sz w:val="21"/>
        </w:rPr>
        <w:t>The network outputs two gradient channels (X and Y) plus a cell probability map. The cytoplasm model has ~25 million parameters. Exported to ONNX, it runs with onnxruntime-web using the WebGL Execution Provider at approximately 2–5 seconds per 512×512 image on a mid-range laptop GPU.</w:t>
      </w:r>
    </w:p>
    <w:p>
      <w:pPr>
        <w:spacing w:before="120" w:after="120"/>
        <w:ind w:left="432"/>
      </w:pPr>
      <w:r>
        <w:rPr>
          <w:rFonts w:ascii="Courier New" w:hAnsi="Courier New"/>
          <w:color w:val="0F3460"/>
          <w:sz w:val="16"/>
        </w:rPr>
        <w:t>// Browser Cellpose pipeline</w:t>
        <w:br/>
        <w:t>const session = await ort.InferenceSession.create(</w:t>
        <w:br/>
        <w:t xml:space="preserve">  "/models/cellpose_cyto.onnx",</w:t>
        <w:br/>
        <w:t xml:space="preserve">  { executionProviders: ["webgl"] }  // GPU via WebGL2</w:t>
        <w:br/>
        <w:t>);</w:t>
        <w:br/>
        <w:t>const feeds = { input: new ort.Tensor("float32", input, [1, 2, 512, 512]) };</w:t>
        <w:br/>
        <w:t>const { output } = await session.run(feeds);</w:t>
        <w:br/>
        <w:t>const masks = postprocess_flows(output);  // gradient integration → masks</w:t>
      </w:r>
    </w:p>
    <w:p>
      <w:pPr>
        <w:keepNext/>
        <w:spacing w:before="320" w:after="120"/>
      </w:pPr>
      <w:r>
        <w:rPr>
          <w:b/>
          <w:color w:val="1A1A2E"/>
          <w:sz w:val="24"/>
        </w:rPr>
        <w:t>StarDist — Star-Convex Polygons for H&amp;E</w:t>
      </w:r>
    </w:p>
    <w:p>
      <w:pPr>
        <w:spacing w:after="160"/>
      </w:pPr>
      <w:r>
        <w:rPr>
          <w:sz w:val="21"/>
        </w:rPr>
        <w:t>StarDist was built at EPFL/EMBL as a specialized nucleus segmenter. The key insight: nuclei are roughly star-convex. StarDist predicts a 32-point star polygon for each nucleus rather than a pixel-wise mask. The 2D_versatile_he model was specifically trained on H&amp;E pathology images — the most common HGSOC histology stain. Model: ~15MB ONNX.</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872"/>
            <w:shd w:val="clear" w:color="auto" w:fill="1a1a2e"/>
          </w:tcPr>
          <w:p>
            <w:r>
              <w:rPr>
                <w:b/>
                <w:color w:val="FFFFFF"/>
                <w:sz w:val="17"/>
              </w:rPr>
              <w:t>Tool</w:t>
            </w:r>
          </w:p>
        </w:tc>
        <w:tc>
          <w:tcPr>
            <w:tcW w:type="dxa" w:w="2304"/>
            <w:shd w:val="clear" w:color="auto" w:fill="1a1a2e"/>
          </w:tcPr>
          <w:p>
            <w:r>
              <w:rPr>
                <w:b/>
                <w:color w:val="FFFFFF"/>
                <w:sz w:val="17"/>
              </w:rPr>
              <w:t>Browser Viable?</w:t>
            </w:r>
          </w:p>
        </w:tc>
        <w:tc>
          <w:tcPr>
            <w:tcW w:type="dxa" w:w="1584"/>
            <w:shd w:val="clear" w:color="auto" w:fill="1a1a2e"/>
          </w:tcPr>
          <w:p>
            <w:r>
              <w:rPr>
                <w:b/>
                <w:color w:val="FFFFFF"/>
                <w:sz w:val="17"/>
              </w:rPr>
              <w:t>ONNX Size</w:t>
            </w:r>
          </w:p>
        </w:tc>
        <w:tc>
          <w:tcPr>
            <w:tcW w:type="dxa" w:w="3600"/>
            <w:shd w:val="clear" w:color="auto" w:fill="1a1a2e"/>
          </w:tcPr>
          <w:p>
            <w:r>
              <w:rPr>
                <w:b/>
                <w:color w:val="FFFFFF"/>
                <w:sz w:val="17"/>
              </w:rPr>
              <w:t>HGSOC Application</w:t>
            </w:r>
          </w:p>
        </w:tc>
      </w:tr>
      <w:tr>
        <w:tc>
          <w:tcPr>
            <w:tcW w:type="dxa" w:w="1872"/>
            <w:shd w:val="clear" w:color="auto" w:fill="FFFFFF"/>
          </w:tcPr>
          <w:p>
            <w:r>
              <w:rPr>
                <w:sz w:val="18"/>
              </w:rPr>
              <w:t>Napari</w:t>
            </w:r>
          </w:p>
        </w:tc>
        <w:tc>
          <w:tcPr>
            <w:tcW w:type="dxa" w:w="2304"/>
            <w:shd w:val="clear" w:color="auto" w:fill="FFFFFF"/>
          </w:tcPr>
          <w:p>
            <w:r>
              <w:rPr>
                <w:sz w:val="18"/>
              </w:rPr>
              <w:t>No (Qt/Python)</w:t>
            </w:r>
          </w:p>
        </w:tc>
        <w:tc>
          <w:tcPr>
            <w:tcW w:type="dxa" w:w="1584"/>
            <w:shd w:val="clear" w:color="auto" w:fill="FFFFFF"/>
          </w:tcPr>
          <w:p>
            <w:r>
              <w:rPr>
                <w:sz w:val="18"/>
              </w:rPr>
              <w:t>N/A</w:t>
            </w:r>
          </w:p>
        </w:tc>
        <w:tc>
          <w:tcPr>
            <w:tcW w:type="dxa" w:w="3600"/>
            <w:shd w:val="clear" w:color="auto" w:fill="FFFFFF"/>
          </w:tcPr>
          <w:p>
            <w:r>
              <w:rPr>
                <w:sz w:val="18"/>
              </w:rPr>
              <w:t>Architecture inspiration</w:t>
            </w:r>
          </w:p>
        </w:tc>
      </w:tr>
      <w:tr>
        <w:tc>
          <w:tcPr>
            <w:tcW w:type="dxa" w:w="1872"/>
            <w:shd w:val="clear" w:color="auto" w:fill="F1F5F9"/>
          </w:tcPr>
          <w:p>
            <w:r>
              <w:rPr>
                <w:sz w:val="18"/>
              </w:rPr>
              <w:t>QuPath</w:t>
            </w:r>
          </w:p>
        </w:tc>
        <w:tc>
          <w:tcPr>
            <w:tcW w:type="dxa" w:w="2304"/>
            <w:shd w:val="clear" w:color="auto" w:fill="F1F5F9"/>
          </w:tcPr>
          <w:p>
            <w:r>
              <w:rPr>
                <w:sz w:val="18"/>
              </w:rPr>
              <w:t>No (JavaFX)</w:t>
            </w:r>
          </w:p>
        </w:tc>
        <w:tc>
          <w:tcPr>
            <w:tcW w:type="dxa" w:w="1584"/>
            <w:shd w:val="clear" w:color="auto" w:fill="F1F5F9"/>
          </w:tcPr>
          <w:p>
            <w:r>
              <w:rPr>
                <w:sz w:val="18"/>
              </w:rPr>
              <w:t>N/A</w:t>
            </w:r>
          </w:p>
        </w:tc>
        <w:tc>
          <w:tcPr>
            <w:tcW w:type="dxa" w:w="3600"/>
            <w:shd w:val="clear" w:color="auto" w:fill="F1F5F9"/>
          </w:tcPr>
          <w:p>
            <w:r>
              <w:rPr>
                <w:sz w:val="18"/>
              </w:rPr>
              <w:t>H-score workflow inspiration</w:t>
            </w:r>
          </w:p>
        </w:tc>
      </w:tr>
      <w:tr>
        <w:tc>
          <w:tcPr>
            <w:tcW w:type="dxa" w:w="1872"/>
            <w:shd w:val="clear" w:color="auto" w:fill="FFFFFF"/>
          </w:tcPr>
          <w:p>
            <w:r>
              <w:rPr>
                <w:sz w:val="18"/>
              </w:rPr>
              <w:t>CellProfiler</w:t>
            </w:r>
          </w:p>
        </w:tc>
        <w:tc>
          <w:tcPr>
            <w:tcW w:type="dxa" w:w="2304"/>
            <w:shd w:val="clear" w:color="auto" w:fill="FFFFFF"/>
          </w:tcPr>
          <w:p>
            <w:r>
              <w:rPr>
                <w:sz w:val="18"/>
              </w:rPr>
              <w:t>No (Python server)</w:t>
            </w:r>
          </w:p>
        </w:tc>
        <w:tc>
          <w:tcPr>
            <w:tcW w:type="dxa" w:w="1584"/>
            <w:shd w:val="clear" w:color="auto" w:fill="FFFFFF"/>
          </w:tcPr>
          <w:p>
            <w:r>
              <w:rPr>
                <w:sz w:val="18"/>
              </w:rPr>
              <w:t>N/A</w:t>
            </w:r>
          </w:p>
        </w:tc>
        <w:tc>
          <w:tcPr>
            <w:tcW w:type="dxa" w:w="3600"/>
            <w:shd w:val="clear" w:color="auto" w:fill="FFFFFF"/>
          </w:tcPr>
          <w:p>
            <w:r>
              <w:rPr>
                <w:sz w:val="18"/>
              </w:rPr>
              <w:t>Feature set inspiration</w:t>
            </w:r>
          </w:p>
        </w:tc>
      </w:tr>
      <w:tr>
        <w:tc>
          <w:tcPr>
            <w:tcW w:type="dxa" w:w="1872"/>
            <w:shd w:val="clear" w:color="auto" w:fill="F1F5F9"/>
          </w:tcPr>
          <w:p>
            <w:r>
              <w:rPr>
                <w:sz w:val="18"/>
              </w:rPr>
              <w:t>Cellpose</w:t>
            </w:r>
          </w:p>
        </w:tc>
        <w:tc>
          <w:tcPr>
            <w:tcW w:type="dxa" w:w="2304"/>
            <w:shd w:val="clear" w:color="auto" w:fill="F1F5F9"/>
          </w:tcPr>
          <w:p>
            <w:r>
              <w:rPr>
                <w:sz w:val="18"/>
              </w:rPr>
              <w:t>Yes (ONNX WebGL)</w:t>
            </w:r>
          </w:p>
        </w:tc>
        <w:tc>
          <w:tcPr>
            <w:tcW w:type="dxa" w:w="1584"/>
            <w:shd w:val="clear" w:color="auto" w:fill="F1F5F9"/>
          </w:tcPr>
          <w:p>
            <w:r>
              <w:rPr>
                <w:sz w:val="18"/>
              </w:rPr>
              <w:t>~25MB</w:t>
            </w:r>
          </w:p>
        </w:tc>
        <w:tc>
          <w:tcPr>
            <w:tcW w:type="dxa" w:w="3600"/>
            <w:shd w:val="clear" w:color="auto" w:fill="F1F5F9"/>
          </w:tcPr>
          <w:p>
            <w:r>
              <w:rPr>
                <w:sz w:val="18"/>
              </w:rPr>
              <w:t>TMA cell segmentation, IF quantification</w:t>
            </w:r>
          </w:p>
        </w:tc>
      </w:tr>
      <w:tr>
        <w:tc>
          <w:tcPr>
            <w:tcW w:type="dxa" w:w="1872"/>
            <w:shd w:val="clear" w:color="auto" w:fill="FFFFFF"/>
          </w:tcPr>
          <w:p>
            <w:r>
              <w:rPr>
                <w:sz w:val="18"/>
              </w:rPr>
              <w:t>StarDist</w:t>
            </w:r>
          </w:p>
        </w:tc>
        <w:tc>
          <w:tcPr>
            <w:tcW w:type="dxa" w:w="2304"/>
            <w:shd w:val="clear" w:color="auto" w:fill="FFFFFF"/>
          </w:tcPr>
          <w:p>
            <w:r>
              <w:rPr>
                <w:sz w:val="18"/>
              </w:rPr>
              <w:t>Yes (ONNX WebGL)</w:t>
            </w:r>
          </w:p>
        </w:tc>
        <w:tc>
          <w:tcPr>
            <w:tcW w:type="dxa" w:w="1584"/>
            <w:shd w:val="clear" w:color="auto" w:fill="FFFFFF"/>
          </w:tcPr>
          <w:p>
            <w:r>
              <w:rPr>
                <w:sz w:val="18"/>
              </w:rPr>
              <w:t>~15MB</w:t>
            </w:r>
          </w:p>
        </w:tc>
        <w:tc>
          <w:tcPr>
            <w:tcW w:type="dxa" w:w="3600"/>
            <w:shd w:val="clear" w:color="auto" w:fill="FFFFFF"/>
          </w:tcPr>
          <w:p>
            <w:r>
              <w:rPr>
                <w:sz w:val="18"/>
              </w:rPr>
              <w:t>H&amp;E nucleus counting, tumor purity</w:t>
            </w:r>
          </w:p>
        </w:tc>
      </w:tr>
      <w:tr>
        <w:tc>
          <w:tcPr>
            <w:tcW w:type="dxa" w:w="1872"/>
            <w:shd w:val="clear" w:color="auto" w:fill="F1F5F9"/>
          </w:tcPr>
          <w:p>
            <w:r>
              <w:rPr>
                <w:sz w:val="18"/>
              </w:rPr>
              <w:t>ilastik</w:t>
            </w:r>
          </w:p>
        </w:tc>
        <w:tc>
          <w:tcPr>
            <w:tcW w:type="dxa" w:w="2304"/>
            <w:shd w:val="clear" w:color="auto" w:fill="F1F5F9"/>
          </w:tcPr>
          <w:p>
            <w:r>
              <w:rPr>
                <w:sz w:val="18"/>
              </w:rPr>
              <w:t>Partial (RF only)</w:t>
            </w:r>
          </w:p>
        </w:tc>
        <w:tc>
          <w:tcPr>
            <w:tcW w:type="dxa" w:w="1584"/>
            <w:shd w:val="clear" w:color="auto" w:fill="F1F5F9"/>
          </w:tcPr>
          <w:p>
            <w:r>
              <w:rPr>
                <w:sz w:val="18"/>
              </w:rPr>
              <w:t>~2MB</w:t>
            </w:r>
          </w:p>
        </w:tc>
        <w:tc>
          <w:tcPr>
            <w:tcW w:type="dxa" w:w="3600"/>
            <w:shd w:val="clear" w:color="auto" w:fill="F1F5F9"/>
          </w:tcPr>
          <w:p>
            <w:r>
              <w:rPr>
                <w:sz w:val="18"/>
              </w:rPr>
              <w:t>Background/foreground segmentation</w:t>
            </w:r>
          </w:p>
        </w:tc>
      </w:tr>
    </w:tbl>
    <w:p/>
    <w:p>
      <w:r>
        <w:br w:type="page"/>
      </w:r>
    </w:p>
    <w:p>
      <w:pPr>
        <w:keepNext/>
        <w:spacing w:before="480" w:after="80"/>
      </w:pPr>
      <w:r>
        <w:rPr>
          <w:b/>
          <w:color w:val="E94560"/>
          <w:sz w:val="18"/>
        </w:rPr>
        <w:t xml:space="preserve">04  </w:t>
      </w:r>
      <w:r>
        <w:rPr>
          <w:b/>
          <w:color w:val="1A1A2E"/>
          <w:sz w:val="32"/>
        </w:rPr>
        <w:t>AI/ML Predictions: Proteins, Docking &amp; Variants</w:t>
      </w:r>
    </w:p>
    <w:p>
      <w:pPr>
        <w:keepNext/>
        <w:spacing w:before="320" w:after="120"/>
      </w:pPr>
      <w:r>
        <w:rPr>
          <w:b/>
          <w:color w:val="1A1A2E"/>
          <w:sz w:val="24"/>
        </w:rPr>
        <w:t>AlphaFold Database (EBI API)</w:t>
      </w:r>
    </w:p>
    <w:p>
      <w:pPr>
        <w:spacing w:after="160"/>
      </w:pPr>
      <w:r>
        <w:rPr>
          <w:sz w:val="21"/>
        </w:rPr>
        <w:t>AlphaFold2 has pre-computed structures for ~200 million proteins served via a free, unauthenticated REST API. For any UniProt accession, we get: predicted 3D coordinates (mmCIF/PDB), per-residue confidence scores (pLDDT 0–100), and predicted aligned error matrix (PAE). For HGSOC research: BRCA1 (P38398), BRCA2 (P51587), PALB2 (Q86YC2), PARP1 (P09874) — all pre-computed, immediately accessible, no GPU, no waiting.</w:t>
      </w:r>
    </w:p>
    <w:p>
      <w:pPr>
        <w:spacing w:before="120" w:after="120"/>
        <w:ind w:left="432"/>
      </w:pPr>
      <w:r>
        <w:rPr>
          <w:rFonts w:ascii="Courier New" w:hAnsi="Courier New"/>
          <w:color w:val="0F3460"/>
          <w:sz w:val="16"/>
        </w:rPr>
        <w:t>// AlphaFold API — zero authentication</w:t>
        <w:br/>
        <w:t>const resp = await fetch(</w:t>
        <w:br/>
        <w:t xml:space="preserve">  `https://alphafold.ebi.ac.uk/api/prediction/${uniprotId}`</w:t>
        <w:br/>
        <w:t>);</w:t>
        <w:br/>
        <w:t>const [entry] = await resp.json();</w:t>
        <w:br/>
        <w:t>// entry.cifUrl → mmCIF structure → Mol*</w:t>
        <w:br/>
        <w:t>// entry.paeImageUrl → PAE heatmap → sidebar</w:t>
      </w:r>
    </w:p>
    <w:p>
      <w:pPr>
        <w:keepNext/>
        <w:spacing w:before="320" w:after="120"/>
      </w:pPr>
      <w:r>
        <w:rPr>
          <w:b/>
          <w:color w:val="1A1A2E"/>
          <w:sz w:val="24"/>
        </w:rPr>
        <w:t>AutoDock Vina (WASM) — Full In-Browser Docking</w:t>
      </w:r>
    </w:p>
    <w:p>
      <w:pPr>
        <w:spacing w:after="160"/>
      </w:pPr>
      <w:r>
        <w:rPr>
          <w:sz w:val="21"/>
        </w:rPr>
        <w:t>AutoDock Vina was written in C++ because molecular docking requires extreme computational performance. The WASM path preserves this performance: Vina compiled with Emscripten runs at ~70–80% of native C++ speed. The full pipeline uses three WASM libraries: RDKit.js (SMILES → 3D conformer), OpenBabel WASM (mol2 → PDBQT format conversion), and Vina WASM (receptor + ligand → docking poses + affinity scores).</w:t>
      </w:r>
    </w:p>
    <w:p>
      <w:pPr>
        <w:spacing w:after="160"/>
      </w:pPr>
      <w:r>
        <w:rPr>
          <w:sz w:val="21"/>
        </w:rPr>
        <w:t>For HGSOC research: dock olaparib, niraparib, rucaparib, and veliparib against the PARP1 catalytic domain, get binding affinities and poses, visualize in 3Dmol.js — entirely in-browser, entirely free, entirely private.</w:t>
      </w:r>
    </w:p>
    <w:p>
      <w:pPr>
        <w:keepNext/>
        <w:spacing w:before="320" w:after="120"/>
      </w:pPr>
      <w:r>
        <w:rPr>
          <w:b/>
          <w:color w:val="1A1A2E"/>
          <w:sz w:val="24"/>
        </w:rPr>
        <w:t>ESM-2 — Protein Language Models for Variant Scoring</w:t>
      </w:r>
    </w:p>
    <w:p>
      <w:pPr>
        <w:spacing w:after="160"/>
      </w:pPr>
      <w:r>
        <w:rPr>
          <w:sz w:val="21"/>
        </w:rPr>
        <w:t>ESM-2 is a transformer language model (Meta AI) trained on 250 million protein sequences. The key insight: protein sequences are a language, and the statistical patterns that make BERT powerful for text also capture evolutionary constraints in proteins. A missense mutation that is "grammatically wrong" in the protein language is likely deleterious. The 150M parameter model exports to ONNX (~600MB), runs at ~30ms/residue on WebGL EP. A 1800-residue BRCA1 takes ~54 seconds — acceptable as a background task.</w:t>
      </w:r>
    </w:p>
    <w:p>
      <w:r>
        <w:br w:type="page"/>
      </w:r>
    </w:p>
    <w:p>
      <w:pPr>
        <w:keepNext/>
        <w:spacing w:before="480" w:after="80"/>
      </w:pPr>
      <w:r>
        <w:rPr>
          <w:b/>
          <w:color w:val="E94560"/>
          <w:sz w:val="18"/>
        </w:rPr>
        <w:t xml:space="preserve">05  </w:t>
      </w:r>
      <w:r>
        <w:rPr>
          <w:b/>
          <w:color w:val="1A1A2E"/>
          <w:sz w:val="32"/>
        </w:rPr>
        <w:t>Genomics Browser: IGV.js</w:t>
      </w:r>
    </w:p>
    <w:p>
      <w:pPr>
        <w:spacing w:after="160"/>
      </w:pPr>
      <w:r>
        <w:rPr>
          <w:sz w:val="21"/>
        </w:rPr>
        <w:t>IGV.js solves the central challenge of genome browsers — human genome reference is 3GB, BAM files are 100GB — using HTTP range requests (RFC 7233). It fetches only the bytes needed for the current view window. BAM files use BGZF compression (blocked gzip) specifically to enable this: a BGZF index (.bai file) maps genomic coordinates to byte offsets, so IGV.js fetches only the blocks containing reads for the current view.</w:t>
      </w:r>
    </w:p>
    <w:tbl>
      <w:tblPr>
        <w:tblStyle w:val="TableGrid"/>
        <w:tblW w:type="auto" w:w="0"/>
        <w:jc w:val="left"/>
        <w:tblLook w:firstColumn="1" w:firstRow="1" w:lastColumn="0" w:lastRow="0" w:noHBand="0" w:noVBand="1" w:val="04A0"/>
      </w:tblPr>
      <w:tblGrid>
        <w:gridCol w:w="9406"/>
      </w:tblGrid>
      <w:tr>
        <w:tc>
          <w:tcPr>
            <w:tcW w:type="dxa" w:w="9360"/>
            <w:shd w:val="clear" w:color="auto" w:fill="06d6a0"/>
          </w:tcPr>
          <w:p>
            <w:r>
              <w:rPr>
                <w:b/>
                <w:color w:val="FFFFFF"/>
                <w:sz w:val="18"/>
              </w:rPr>
              <w:t>→ Q-onco Integration</w:t>
            </w:r>
          </w:p>
        </w:tc>
      </w:tr>
      <w:tr>
        <w:tc>
          <w:tcPr>
            <w:tcW w:type="dxa" w:w="9406"/>
            <w:shd w:val="clear" w:color="auto" w:fill="F8FAFC"/>
          </w:tcPr>
          <w:p>
            <w:pPr>
              <w:spacing w:before="80" w:after="80"/>
            </w:pPr>
            <w:r>
              <w:rPr>
                <w:sz w:val="20"/>
              </w:rPr>
              <w:t>Embed IGV.js with pre-loaded HGSOC tracks: ClinVar pathogenic variants for BRCA1/2/PALB2/ATM/RAD51C/D, HGSOC somatic hotspots from TCGA OV cohort, CCNE1 amplification region. Researcher loads patient VCF → variants auto-compared against pre-loaded tracks → highlighted. One-click "send to molecular viewer" opens the variant in Mol* with ESM-2 pathogenicity score.</w:t>
            </w:r>
          </w:p>
        </w:tc>
      </w:tr>
    </w:tbl>
    <w:p/>
    <w:p>
      <w:r>
        <w:br w:type="page"/>
      </w:r>
    </w:p>
    <w:p>
      <w:pPr>
        <w:keepNext/>
        <w:spacing w:before="480" w:after="80"/>
      </w:pPr>
      <w:r>
        <w:rPr>
          <w:b/>
          <w:color w:val="E94560"/>
          <w:sz w:val="18"/>
        </w:rPr>
        <w:t xml:space="preserve">06  </w:t>
      </w:r>
      <w:r>
        <w:rPr>
          <w:b/>
          <w:color w:val="1A1A2E"/>
          <w:sz w:val="32"/>
        </w:rPr>
        <w:t>Architecture Philosophy</w:t>
      </w:r>
    </w:p>
    <w:p>
      <w:pPr>
        <w:keepNext/>
        <w:spacing w:before="320" w:after="120"/>
      </w:pPr>
      <w:r>
        <w:rPr>
          <w:b/>
          <w:color w:val="1A1A2E"/>
          <w:sz w:val="24"/>
        </w:rPr>
        <w:t>Pattern 1: The GPU Bottleneck → Instanced Rendering</w:t>
      </w:r>
    </w:p>
    <w:p>
      <w:pPr>
        <w:spacing w:after="160"/>
      </w:pPr>
      <w:r>
        <w:rPr>
          <w:sz w:val="21"/>
        </w:rPr>
        <w:t>General-purpose 3D engines use a scene graph scaling O(n) with object count. 50,000 atoms = 50,000 node updates per frame = 50ms = below 20fps. High-performance scientific viewers use instanced rendering: one geometry definition uploaded to the GPU once, rendered N times with per-instance data (position, color, radius) in a GPU buffer. Draw calls go from 50,000 → 1. This is why Mol* renders 1M atoms at 60fps.</w:t>
      </w:r>
    </w:p>
    <w:p>
      <w:pPr>
        <w:keepNext/>
        <w:spacing w:before="320" w:after="120"/>
      </w:pPr>
      <w:r>
        <w:rPr>
          <w:b/>
          <w:color w:val="1A1A2E"/>
          <w:sz w:val="24"/>
        </w:rPr>
        <w:t>Pattern 2: The Main Thread Rule → Web Workers</w:t>
      </w:r>
    </w:p>
    <w:p>
      <w:pPr>
        <w:spacing w:after="160"/>
      </w:pPr>
      <w:r>
        <w:rPr>
          <w:sz w:val="21"/>
        </w:rPr>
        <w:t>Any computation over ~16ms on the main thread causes a dropped frame. Parsing a 10MB PDB takes ~500ms; Cellpose inference takes 5 seconds. All performance-critical tools use Web Workers. The architecture: Worker parses/computes, main thread receives result, WebGL renders. SharedArrayBuffer allows zero-copy transfer — requires COOP/COEP HTTP headers in our Vite config.</w:t>
      </w:r>
    </w:p>
    <w:p>
      <w:pPr>
        <w:keepNext/>
        <w:spacing w:before="320" w:after="120"/>
      </w:pPr>
      <w:r>
        <w:rPr>
          <w:b/>
          <w:color w:val="1A1A2E"/>
          <w:sz w:val="24"/>
        </w:rPr>
        <w:t>Pattern 3: Plugin Systems → Survivability</w:t>
      </w:r>
    </w:p>
    <w:p>
      <w:pPr>
        <w:spacing w:after="160"/>
      </w:pPr>
      <w:r>
        <w:rPr>
          <w:sz w:val="21"/>
        </w:rPr>
        <w:t>Mol*, Napari, and IGV.js all use plugin/extension architectures because researchers need customization the core team cannot anticipate. We write HGSOC-specific behaviors as Mol* plugins — BRCA1/2 domain highlighting, pathogenic variant overlays — without forking the core library.</w:t>
      </w:r>
    </w:p>
    <w:p>
      <w:pPr>
        <w:keepNext/>
        <w:spacing w:before="320" w:after="120"/>
      </w:pPr>
      <w:r>
        <w:rPr>
          <w:b/>
          <w:color w:val="1A1A2E"/>
          <w:sz w:val="24"/>
        </w:rPr>
        <w:t>Pattern 4: State Serialization → Reproducibility</w:t>
      </w:r>
    </w:p>
    <w:p>
      <w:pPr>
        <w:spacing w:after="160"/>
      </w:pPr>
      <w:r>
        <w:rPr>
          <w:sz w:val="21"/>
        </w:rPr>
        <w:t>A researcher annotates a structure, closes the browser, needs the exact same view tomorrow. Without state serialization, the work is lost. Mol*'s MOLJ format solves this. For Q-onco: viewer state + analysis results + annotations are serialized to JSON, AES-256 encrypted, stored as .enc in GitHub. A session started on a laptop can be resumed on any device.</w:t>
      </w:r>
    </w:p>
    <w:p>
      <w:r>
        <w:br w:type="page"/>
      </w:r>
    </w:p>
    <w:p>
      <w:pPr>
        <w:keepNext/>
        <w:spacing w:before="480" w:after="80"/>
      </w:pPr>
      <w:r>
        <w:rPr>
          <w:b/>
          <w:color w:val="E94560"/>
          <w:sz w:val="18"/>
        </w:rPr>
        <w:t xml:space="preserve">07  </w:t>
      </w:r>
      <w:r>
        <w:rPr>
          <w:b/>
          <w:color w:val="1A1A2E"/>
          <w:sz w:val="32"/>
        </w:rPr>
        <w:t>The Ambitious Build Plan</w:t>
      </w:r>
    </w:p>
    <w:tbl>
      <w:tblPr>
        <w:tblStyle w:val="TableGrid"/>
        <w:tblW w:type="auto" w:w="0"/>
        <w:jc w:val="left"/>
        <w:tblLook w:firstColumn="1" w:firstRow="1" w:lastColumn="0" w:lastRow="0" w:noHBand="0" w:noVBand="1" w:val="04A0"/>
      </w:tblPr>
      <w:tblGrid>
        <w:gridCol w:w="9406"/>
      </w:tblGrid>
      <w:tr>
        <w:tc>
          <w:tcPr>
            <w:tcW w:type="dxa" w:w="9360"/>
            <w:shd w:val="clear" w:color="auto" w:fill="1a1a2e"/>
          </w:tcPr>
          <w:p>
            <w:r>
              <w:rPr>
                <w:b/>
                <w:color w:val="FFFFFF"/>
                <w:sz w:val="18"/>
              </w:rPr>
              <w:t>✦ The Manifesto</w:t>
            </w:r>
          </w:p>
        </w:tc>
      </w:tr>
      <w:tr>
        <w:tc>
          <w:tcPr>
            <w:tcW w:type="dxa" w:w="9406"/>
            <w:shd w:val="clear" w:color="auto" w:fill="F8FAFC"/>
          </w:tcPr>
          <w:p>
            <w:pPr>
              <w:spacing w:before="80" w:after="80"/>
            </w:pPr>
            <w:r>
              <w:rPr>
                <w:sz w:val="20"/>
              </w:rPr>
              <w:t>Every tool we analyzed — Mol*, Cellpose, Vina, IGV.js — was built by a small team with specific expertise. We are not starting from zero. We are orchestrating the best of each into a unified, HGSOC-native platform. The pieces exist. The question is execution order and integration architecture.</w:t>
            </w:r>
          </w:p>
        </w:tc>
      </w:tr>
    </w:tbl>
    <w:p/>
    <w:p>
      <w:pPr>
        <w:keepNext/>
        <w:spacing w:before="320" w:after="120"/>
      </w:pPr>
      <w:r>
        <w:rPr>
          <w:b/>
          <w:color w:val="1A1A2E"/>
          <w:sz w:val="24"/>
        </w:rPr>
        <w:t>Phase 1: Embed + Annotate (Weeks 1–4)</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600"/>
            <w:shd w:val="clear" w:color="auto" w:fill="1a1a2e"/>
          </w:tcPr>
          <w:p>
            <w:r>
              <w:rPr>
                <w:b/>
                <w:color w:val="FFFFFF"/>
                <w:sz w:val="17"/>
              </w:rPr>
              <w:t>Task</w:t>
            </w:r>
          </w:p>
        </w:tc>
        <w:tc>
          <w:tcPr>
            <w:tcW w:type="dxa" w:w="2592"/>
            <w:shd w:val="clear" w:color="auto" w:fill="1a1a2e"/>
          </w:tcPr>
          <w:p>
            <w:r>
              <w:rPr>
                <w:b/>
                <w:color w:val="FFFFFF"/>
                <w:sz w:val="17"/>
              </w:rPr>
              <w:t>Library</w:t>
            </w:r>
          </w:p>
        </w:tc>
        <w:tc>
          <w:tcPr>
            <w:tcW w:type="dxa" w:w="1152"/>
            <w:shd w:val="clear" w:color="auto" w:fill="1a1a2e"/>
          </w:tcPr>
          <w:p>
            <w:r>
              <w:rPr>
                <w:b/>
                <w:color w:val="FFFFFF"/>
                <w:sz w:val="17"/>
              </w:rPr>
              <w:t>Effort</w:t>
            </w:r>
          </w:p>
        </w:tc>
        <w:tc>
          <w:tcPr>
            <w:tcW w:type="dxa" w:w="3456"/>
            <w:shd w:val="clear" w:color="auto" w:fill="1a1a2e"/>
          </w:tcPr>
          <w:p>
            <w:r>
              <w:rPr>
                <w:b/>
                <w:color w:val="FFFFFF"/>
                <w:sz w:val="17"/>
              </w:rPr>
              <w:t>Researcher Value</w:t>
            </w:r>
          </w:p>
        </w:tc>
      </w:tr>
      <w:tr>
        <w:tc>
          <w:tcPr>
            <w:tcW w:type="dxa" w:w="3600"/>
            <w:shd w:val="clear" w:color="auto" w:fill="FFFFFF"/>
          </w:tcPr>
          <w:p>
            <w:r>
              <w:rPr>
                <w:sz w:val="18"/>
              </w:rPr>
              <w:t>Embed Mol* with minimal plugin set</w:t>
            </w:r>
          </w:p>
        </w:tc>
        <w:tc>
          <w:tcPr>
            <w:tcW w:type="dxa" w:w="2592"/>
            <w:shd w:val="clear" w:color="auto" w:fill="FFFFFF"/>
          </w:tcPr>
          <w:p>
            <w:r>
              <w:rPr>
                <w:sz w:val="18"/>
              </w:rPr>
              <w:t>molstar</w:t>
            </w:r>
          </w:p>
        </w:tc>
        <w:tc>
          <w:tcPr>
            <w:tcW w:type="dxa" w:w="1152"/>
            <w:shd w:val="clear" w:color="auto" w:fill="FFFFFF"/>
          </w:tcPr>
          <w:p>
            <w:r>
              <w:rPr>
                <w:sz w:val="18"/>
              </w:rPr>
              <w:t>3 days</w:t>
            </w:r>
          </w:p>
        </w:tc>
        <w:tc>
          <w:tcPr>
            <w:tcW w:type="dxa" w:w="3456"/>
            <w:shd w:val="clear" w:color="auto" w:fill="FFFFFF"/>
          </w:tcPr>
          <w:p>
            <w:r>
              <w:rPr>
                <w:sz w:val="18"/>
              </w:rPr>
              <w:t>View any PDB/AlphaFold structure</w:t>
            </w:r>
          </w:p>
        </w:tc>
      </w:tr>
      <w:tr>
        <w:tc>
          <w:tcPr>
            <w:tcW w:type="dxa" w:w="3600"/>
            <w:shd w:val="clear" w:color="auto" w:fill="F1F5F9"/>
          </w:tcPr>
          <w:p>
            <w:r>
              <w:rPr>
                <w:sz w:val="18"/>
              </w:rPr>
              <w:t>AlphaFold API + HGSOC gene quick-load</w:t>
            </w:r>
          </w:p>
        </w:tc>
        <w:tc>
          <w:tcPr>
            <w:tcW w:type="dxa" w:w="2592"/>
            <w:shd w:val="clear" w:color="auto" w:fill="F1F5F9"/>
          </w:tcPr>
          <w:p>
            <w:r>
              <w:rPr>
                <w:sz w:val="18"/>
              </w:rPr>
              <w:t>fetch API</w:t>
            </w:r>
          </w:p>
        </w:tc>
        <w:tc>
          <w:tcPr>
            <w:tcW w:type="dxa" w:w="1152"/>
            <w:shd w:val="clear" w:color="auto" w:fill="F1F5F9"/>
          </w:tcPr>
          <w:p>
            <w:r>
              <w:rPr>
                <w:sz w:val="18"/>
              </w:rPr>
              <w:t>1 day</w:t>
            </w:r>
          </w:p>
        </w:tc>
        <w:tc>
          <w:tcPr>
            <w:tcW w:type="dxa" w:w="3456"/>
            <w:shd w:val="clear" w:color="auto" w:fill="F1F5F9"/>
          </w:tcPr>
          <w:p>
            <w:r>
              <w:rPr>
                <w:sz w:val="18"/>
              </w:rPr>
              <w:t>BRCA1/2 structure in 2 clicks</w:t>
            </w:r>
          </w:p>
        </w:tc>
      </w:tr>
      <w:tr>
        <w:tc>
          <w:tcPr>
            <w:tcW w:type="dxa" w:w="3600"/>
            <w:shd w:val="clear" w:color="auto" w:fill="FFFFFF"/>
          </w:tcPr>
          <w:p>
            <w:r>
              <w:rPr>
                <w:sz w:val="18"/>
              </w:rPr>
              <w:t>HGSOCAnnotationBehavior plugin</w:t>
            </w:r>
          </w:p>
        </w:tc>
        <w:tc>
          <w:tcPr>
            <w:tcW w:type="dxa" w:w="2592"/>
            <w:shd w:val="clear" w:color="auto" w:fill="FFFFFF"/>
          </w:tcPr>
          <w:p>
            <w:r>
              <w:rPr>
                <w:sz w:val="18"/>
              </w:rPr>
              <w:t>Mol* plugin API</w:t>
            </w:r>
          </w:p>
        </w:tc>
        <w:tc>
          <w:tcPr>
            <w:tcW w:type="dxa" w:w="1152"/>
            <w:shd w:val="clear" w:color="auto" w:fill="FFFFFF"/>
          </w:tcPr>
          <w:p>
            <w:r>
              <w:rPr>
                <w:sz w:val="18"/>
              </w:rPr>
              <w:t>3 days</w:t>
            </w:r>
          </w:p>
        </w:tc>
        <w:tc>
          <w:tcPr>
            <w:tcW w:type="dxa" w:w="3456"/>
            <w:shd w:val="clear" w:color="auto" w:fill="FFFFFF"/>
          </w:tcPr>
          <w:p>
            <w:r>
              <w:rPr>
                <w:sz w:val="18"/>
              </w:rPr>
              <w:t>Auto-highlight pathogenic variants</w:t>
            </w:r>
          </w:p>
        </w:tc>
      </w:tr>
      <w:tr>
        <w:tc>
          <w:tcPr>
            <w:tcW w:type="dxa" w:w="3600"/>
            <w:shd w:val="clear" w:color="auto" w:fill="F1F5F9"/>
          </w:tcPr>
          <w:p>
            <w:r>
              <w:rPr>
                <w:sz w:val="18"/>
              </w:rPr>
              <w:t>MOLJ session save → GitHub .enc</w:t>
            </w:r>
          </w:p>
        </w:tc>
        <w:tc>
          <w:tcPr>
            <w:tcW w:type="dxa" w:w="2592"/>
            <w:shd w:val="clear" w:color="auto" w:fill="F1F5F9"/>
          </w:tcPr>
          <w:p>
            <w:r>
              <w:rPr>
                <w:sz w:val="18"/>
              </w:rPr>
              <w:t>Mol* state + our store</w:t>
            </w:r>
          </w:p>
        </w:tc>
        <w:tc>
          <w:tcPr>
            <w:tcW w:type="dxa" w:w="1152"/>
            <w:shd w:val="clear" w:color="auto" w:fill="F1F5F9"/>
          </w:tcPr>
          <w:p>
            <w:r>
              <w:rPr>
                <w:sz w:val="18"/>
              </w:rPr>
              <w:t>2 days</w:t>
            </w:r>
          </w:p>
        </w:tc>
        <w:tc>
          <w:tcPr>
            <w:tcW w:type="dxa" w:w="3456"/>
            <w:shd w:val="clear" w:color="auto" w:fill="F1F5F9"/>
          </w:tcPr>
          <w:p>
            <w:r>
              <w:rPr>
                <w:sz w:val="18"/>
              </w:rPr>
              <w:t>Save/resume annotated sessions</w:t>
            </w:r>
          </w:p>
        </w:tc>
      </w:tr>
      <w:tr>
        <w:tc>
          <w:tcPr>
            <w:tcW w:type="dxa" w:w="3600"/>
            <w:shd w:val="clear" w:color="auto" w:fill="FFFFFF"/>
          </w:tcPr>
          <w:p>
            <w:r>
              <w:rPr>
                <w:sz w:val="18"/>
              </w:rPr>
              <w:t>IGV.js embed + HGSOC tracks</w:t>
            </w:r>
          </w:p>
        </w:tc>
        <w:tc>
          <w:tcPr>
            <w:tcW w:type="dxa" w:w="2592"/>
            <w:shd w:val="clear" w:color="auto" w:fill="FFFFFF"/>
          </w:tcPr>
          <w:p>
            <w:r>
              <w:rPr>
                <w:sz w:val="18"/>
              </w:rPr>
              <w:t>igv npm</w:t>
            </w:r>
          </w:p>
        </w:tc>
        <w:tc>
          <w:tcPr>
            <w:tcW w:type="dxa" w:w="1152"/>
            <w:shd w:val="clear" w:color="auto" w:fill="FFFFFF"/>
          </w:tcPr>
          <w:p>
            <w:r>
              <w:rPr>
                <w:sz w:val="18"/>
              </w:rPr>
              <w:t>3 days</w:t>
            </w:r>
          </w:p>
        </w:tc>
        <w:tc>
          <w:tcPr>
            <w:tcW w:type="dxa" w:w="3456"/>
            <w:shd w:val="clear" w:color="auto" w:fill="FFFFFF"/>
          </w:tcPr>
          <w:p>
            <w:r>
              <w:rPr>
                <w:sz w:val="18"/>
              </w:rPr>
              <w:t>Genomic context for every gene</w:t>
            </w:r>
          </w:p>
        </w:tc>
      </w:tr>
      <w:tr>
        <w:tc>
          <w:tcPr>
            <w:tcW w:type="dxa" w:w="3600"/>
            <w:shd w:val="clear" w:color="auto" w:fill="F1F5F9"/>
          </w:tcPr>
          <w:p>
            <w:r>
              <w:rPr>
                <w:sz w:val="18"/>
              </w:rPr>
              <w:t>Speck small molecule renderer</w:t>
            </w:r>
          </w:p>
        </w:tc>
        <w:tc>
          <w:tcPr>
            <w:tcW w:type="dxa" w:w="2592"/>
            <w:shd w:val="clear" w:color="auto" w:fill="F1F5F9"/>
          </w:tcPr>
          <w:p>
            <w:r>
              <w:rPr>
                <w:sz w:val="18"/>
              </w:rPr>
              <w:t>speck npm</w:t>
            </w:r>
          </w:p>
        </w:tc>
        <w:tc>
          <w:tcPr>
            <w:tcW w:type="dxa" w:w="1152"/>
            <w:shd w:val="clear" w:color="auto" w:fill="F1F5F9"/>
          </w:tcPr>
          <w:p>
            <w:r>
              <w:rPr>
                <w:sz w:val="18"/>
              </w:rPr>
              <w:t>2 days</w:t>
            </w:r>
          </w:p>
        </w:tc>
        <w:tc>
          <w:tcPr>
            <w:tcW w:type="dxa" w:w="3456"/>
            <w:shd w:val="clear" w:color="auto" w:fill="F1F5F9"/>
          </w:tcPr>
          <w:p>
            <w:r>
              <w:rPr>
                <w:sz w:val="18"/>
              </w:rPr>
              <w:t>Publication-quality drug figures</w:t>
            </w:r>
          </w:p>
        </w:tc>
      </w:tr>
    </w:tbl>
    <w:p/>
    <w:p>
      <w:pPr>
        <w:keepNext/>
        <w:spacing w:before="320" w:after="120"/>
      </w:pPr>
      <w:r>
        <w:rPr>
          <w:b/>
          <w:color w:val="1A1A2E"/>
          <w:sz w:val="24"/>
        </w:rPr>
        <w:t>Phase 2: WASM + ONNX Compute (Weeks 5–10)</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600"/>
            <w:shd w:val="clear" w:color="auto" w:fill="1a1a2e"/>
          </w:tcPr>
          <w:p>
            <w:r>
              <w:rPr>
                <w:b/>
                <w:color w:val="FFFFFF"/>
                <w:sz w:val="17"/>
              </w:rPr>
              <w:t>Task</w:t>
            </w:r>
          </w:p>
        </w:tc>
        <w:tc>
          <w:tcPr>
            <w:tcW w:type="dxa" w:w="2880"/>
            <w:shd w:val="clear" w:color="auto" w:fill="1a1a2e"/>
          </w:tcPr>
          <w:p>
            <w:r>
              <w:rPr>
                <w:b/>
                <w:color w:val="FFFFFF"/>
                <w:sz w:val="17"/>
              </w:rPr>
              <w:t>Library</w:t>
            </w:r>
          </w:p>
        </w:tc>
        <w:tc>
          <w:tcPr>
            <w:tcW w:type="dxa" w:w="1152"/>
            <w:shd w:val="clear" w:color="auto" w:fill="1a1a2e"/>
          </w:tcPr>
          <w:p>
            <w:r>
              <w:rPr>
                <w:b/>
                <w:color w:val="FFFFFF"/>
                <w:sz w:val="17"/>
              </w:rPr>
              <w:t>Effort</w:t>
            </w:r>
          </w:p>
        </w:tc>
        <w:tc>
          <w:tcPr>
            <w:tcW w:type="dxa" w:w="3168"/>
            <w:shd w:val="clear" w:color="auto" w:fill="1a1a2e"/>
          </w:tcPr>
          <w:p>
            <w:r>
              <w:rPr>
                <w:b/>
                <w:color w:val="FFFFFF"/>
                <w:sz w:val="17"/>
              </w:rPr>
              <w:t>Researcher Value</w:t>
            </w:r>
          </w:p>
        </w:tc>
      </w:tr>
      <w:tr>
        <w:tc>
          <w:tcPr>
            <w:tcW w:type="dxa" w:w="3600"/>
            <w:shd w:val="clear" w:color="auto" w:fill="FFFFFF"/>
          </w:tcPr>
          <w:p>
            <w:r>
              <w:rPr>
                <w:sz w:val="18"/>
              </w:rPr>
              <w:t>Cellpose ONNX Web Worker setup</w:t>
            </w:r>
          </w:p>
        </w:tc>
        <w:tc>
          <w:tcPr>
            <w:tcW w:type="dxa" w:w="2880"/>
            <w:shd w:val="clear" w:color="auto" w:fill="FFFFFF"/>
          </w:tcPr>
          <w:p>
            <w:r>
              <w:rPr>
                <w:sz w:val="18"/>
              </w:rPr>
              <w:t>onnxruntime-web</w:t>
            </w:r>
          </w:p>
        </w:tc>
        <w:tc>
          <w:tcPr>
            <w:tcW w:type="dxa" w:w="1152"/>
            <w:shd w:val="clear" w:color="auto" w:fill="FFFFFF"/>
          </w:tcPr>
          <w:p>
            <w:r>
              <w:rPr>
                <w:sz w:val="18"/>
              </w:rPr>
              <w:t>5 days</w:t>
            </w:r>
          </w:p>
        </w:tc>
        <w:tc>
          <w:tcPr>
            <w:tcW w:type="dxa" w:w="3168"/>
            <w:shd w:val="clear" w:color="auto" w:fill="FFFFFF"/>
          </w:tcPr>
          <w:p>
            <w:r>
              <w:rPr>
                <w:sz w:val="18"/>
              </w:rPr>
              <w:t>Cell segmentation in-browser</w:t>
            </w:r>
          </w:p>
        </w:tc>
      </w:tr>
      <w:tr>
        <w:tc>
          <w:tcPr>
            <w:tcW w:type="dxa" w:w="3600"/>
            <w:shd w:val="clear" w:color="auto" w:fill="F1F5F9"/>
          </w:tcPr>
          <w:p>
            <w:r>
              <w:rPr>
                <w:sz w:val="18"/>
              </w:rPr>
              <w:t>StarDist ONNX + H&amp;E mode</w:t>
            </w:r>
          </w:p>
        </w:tc>
        <w:tc>
          <w:tcPr>
            <w:tcW w:type="dxa" w:w="2880"/>
            <w:shd w:val="clear" w:color="auto" w:fill="F1F5F9"/>
          </w:tcPr>
          <w:p>
            <w:r>
              <w:rPr>
                <w:sz w:val="18"/>
              </w:rPr>
              <w:t>onnxruntime-web</w:t>
            </w:r>
          </w:p>
        </w:tc>
        <w:tc>
          <w:tcPr>
            <w:tcW w:type="dxa" w:w="1152"/>
            <w:shd w:val="clear" w:color="auto" w:fill="F1F5F9"/>
          </w:tcPr>
          <w:p>
            <w:r>
              <w:rPr>
                <w:sz w:val="18"/>
              </w:rPr>
              <w:t>3 days</w:t>
            </w:r>
          </w:p>
        </w:tc>
        <w:tc>
          <w:tcPr>
            <w:tcW w:type="dxa" w:w="3168"/>
            <w:shd w:val="clear" w:color="auto" w:fill="F1F5F9"/>
          </w:tcPr>
          <w:p>
            <w:r>
              <w:rPr>
                <w:sz w:val="18"/>
              </w:rPr>
              <w:t>Nucleus counting from H&amp;E</w:t>
            </w:r>
          </w:p>
        </w:tc>
      </w:tr>
      <w:tr>
        <w:tc>
          <w:tcPr>
            <w:tcW w:type="dxa" w:w="3600"/>
            <w:shd w:val="clear" w:color="auto" w:fill="FFFFFF"/>
          </w:tcPr>
          <w:p>
            <w:r>
              <w:rPr>
                <w:sz w:val="18"/>
              </w:rPr>
              <w:t>H-score computation from masks</w:t>
            </w:r>
          </w:p>
        </w:tc>
        <w:tc>
          <w:tcPr>
            <w:tcW w:type="dxa" w:w="2880"/>
            <w:shd w:val="clear" w:color="auto" w:fill="FFFFFF"/>
          </w:tcPr>
          <w:p>
            <w:r>
              <w:rPr>
                <w:sz w:val="18"/>
              </w:rPr>
              <w:t>Pure JS</w:t>
            </w:r>
          </w:p>
        </w:tc>
        <w:tc>
          <w:tcPr>
            <w:tcW w:type="dxa" w:w="1152"/>
            <w:shd w:val="clear" w:color="auto" w:fill="FFFFFF"/>
          </w:tcPr>
          <w:p>
            <w:r>
              <w:rPr>
                <w:sz w:val="18"/>
              </w:rPr>
              <w:t>2 days</w:t>
            </w:r>
          </w:p>
        </w:tc>
        <w:tc>
          <w:tcPr>
            <w:tcW w:type="dxa" w:w="3168"/>
            <w:shd w:val="clear" w:color="auto" w:fill="FFFFFF"/>
          </w:tcPr>
          <w:p>
            <w:r>
              <w:rPr>
                <w:sz w:val="18"/>
              </w:rPr>
              <w:t>IHC scoring automation</w:t>
            </w:r>
          </w:p>
        </w:tc>
      </w:tr>
      <w:tr>
        <w:tc>
          <w:tcPr>
            <w:tcW w:type="dxa" w:w="3600"/>
            <w:shd w:val="clear" w:color="auto" w:fill="F1F5F9"/>
          </w:tcPr>
          <w:p>
            <w:r>
              <w:rPr>
                <w:sz w:val="18"/>
              </w:rPr>
              <w:t>Vina WASM docking pipeline</w:t>
            </w:r>
          </w:p>
        </w:tc>
        <w:tc>
          <w:tcPr>
            <w:tcW w:type="dxa" w:w="2880"/>
            <w:shd w:val="clear" w:color="auto" w:fill="F1F5F9"/>
          </w:tcPr>
          <w:p>
            <w:r>
              <w:rPr>
                <w:sz w:val="18"/>
              </w:rPr>
              <w:t>vina-wasm + openbabel + RDKit</w:t>
            </w:r>
          </w:p>
        </w:tc>
        <w:tc>
          <w:tcPr>
            <w:tcW w:type="dxa" w:w="1152"/>
            <w:shd w:val="clear" w:color="auto" w:fill="F1F5F9"/>
          </w:tcPr>
          <w:p>
            <w:r>
              <w:rPr>
                <w:sz w:val="18"/>
              </w:rPr>
              <w:t>6 days</w:t>
            </w:r>
          </w:p>
        </w:tc>
        <w:tc>
          <w:tcPr>
            <w:tcW w:type="dxa" w:w="3168"/>
            <w:shd w:val="clear" w:color="auto" w:fill="F1F5F9"/>
          </w:tcPr>
          <w:p>
            <w:r>
              <w:rPr>
                <w:sz w:val="18"/>
              </w:rPr>
              <w:t>PARP inhibitor docking</w:t>
            </w:r>
          </w:p>
        </w:tc>
      </w:tr>
      <w:tr>
        <w:tc>
          <w:tcPr>
            <w:tcW w:type="dxa" w:w="3600"/>
            <w:shd w:val="clear" w:color="auto" w:fill="FFFFFF"/>
          </w:tcPr>
          <w:p>
            <w:r>
              <w:rPr>
                <w:sz w:val="18"/>
              </w:rPr>
              <w:t>3Dmol.js PDBQT results viewer</w:t>
            </w:r>
          </w:p>
        </w:tc>
        <w:tc>
          <w:tcPr>
            <w:tcW w:type="dxa" w:w="2880"/>
            <w:shd w:val="clear" w:color="auto" w:fill="FFFFFF"/>
          </w:tcPr>
          <w:p>
            <w:r>
              <w:rPr>
                <w:sz w:val="18"/>
              </w:rPr>
              <w:t>3dmol npm</w:t>
            </w:r>
          </w:p>
        </w:tc>
        <w:tc>
          <w:tcPr>
            <w:tcW w:type="dxa" w:w="1152"/>
            <w:shd w:val="clear" w:color="auto" w:fill="FFFFFF"/>
          </w:tcPr>
          <w:p>
            <w:r>
              <w:rPr>
                <w:sz w:val="18"/>
              </w:rPr>
              <w:t>2 days</w:t>
            </w:r>
          </w:p>
        </w:tc>
        <w:tc>
          <w:tcPr>
            <w:tcW w:type="dxa" w:w="3168"/>
            <w:shd w:val="clear" w:color="auto" w:fill="FFFFFF"/>
          </w:tcPr>
          <w:p>
            <w:r>
              <w:rPr>
                <w:sz w:val="18"/>
              </w:rPr>
              <w:t>View docking poses</w:t>
            </w:r>
          </w:p>
        </w:tc>
      </w:tr>
      <w:tr>
        <w:tc>
          <w:tcPr>
            <w:tcW w:type="dxa" w:w="3600"/>
            <w:shd w:val="clear" w:color="auto" w:fill="F1F5F9"/>
          </w:tcPr>
          <w:p>
            <w:r>
              <w:rPr>
                <w:sz w:val="18"/>
              </w:rPr>
              <w:t>ESM-2 150M ONNX variant scoring</w:t>
            </w:r>
          </w:p>
        </w:tc>
        <w:tc>
          <w:tcPr>
            <w:tcW w:type="dxa" w:w="2880"/>
            <w:shd w:val="clear" w:color="auto" w:fill="F1F5F9"/>
          </w:tcPr>
          <w:p>
            <w:r>
              <w:rPr>
                <w:sz w:val="18"/>
              </w:rPr>
              <w:t>onnxruntime-web</w:t>
            </w:r>
          </w:p>
        </w:tc>
        <w:tc>
          <w:tcPr>
            <w:tcW w:type="dxa" w:w="1152"/>
            <w:shd w:val="clear" w:color="auto" w:fill="F1F5F9"/>
          </w:tcPr>
          <w:p>
            <w:r>
              <w:rPr>
                <w:sz w:val="18"/>
              </w:rPr>
              <w:t>4 days</w:t>
            </w:r>
          </w:p>
        </w:tc>
        <w:tc>
          <w:tcPr>
            <w:tcW w:type="dxa" w:w="3168"/>
            <w:shd w:val="clear" w:color="auto" w:fill="F1F5F9"/>
          </w:tcPr>
          <w:p>
            <w:r>
              <w:rPr>
                <w:sz w:val="18"/>
              </w:rPr>
              <w:t>VUS pathogenicity scoring</w:t>
            </w:r>
          </w:p>
        </w:tc>
      </w:tr>
      <w:tr>
        <w:tc>
          <w:tcPr>
            <w:tcW w:type="dxa" w:w="3600"/>
            <w:shd w:val="clear" w:color="auto" w:fill="FFFFFF"/>
          </w:tcPr>
          <w:p>
            <w:r>
              <w:rPr>
                <w:sz w:val="18"/>
              </w:rPr>
              <w:t>COOP/COEP headers in Vite config</w:t>
            </w:r>
          </w:p>
        </w:tc>
        <w:tc>
          <w:tcPr>
            <w:tcW w:type="dxa" w:w="2880"/>
            <w:shd w:val="clear" w:color="auto" w:fill="FFFFFF"/>
          </w:tcPr>
          <w:p>
            <w:r>
              <w:rPr>
                <w:sz w:val="18"/>
              </w:rPr>
              <w:t>vite-plugin-headers</w:t>
            </w:r>
          </w:p>
        </w:tc>
        <w:tc>
          <w:tcPr>
            <w:tcW w:type="dxa" w:w="1152"/>
            <w:shd w:val="clear" w:color="auto" w:fill="FFFFFF"/>
          </w:tcPr>
          <w:p>
            <w:r>
              <w:rPr>
                <w:sz w:val="18"/>
              </w:rPr>
              <w:t>1 day</w:t>
            </w:r>
          </w:p>
        </w:tc>
        <w:tc>
          <w:tcPr>
            <w:tcW w:type="dxa" w:w="3168"/>
            <w:shd w:val="clear" w:color="auto" w:fill="FFFFFF"/>
          </w:tcPr>
          <w:p>
            <w:r>
              <w:rPr>
                <w:sz w:val="18"/>
              </w:rPr>
              <w:t>SharedArrayBuffer for ONNX</w:t>
            </w:r>
          </w:p>
        </w:tc>
      </w:tr>
    </w:tbl>
    <w:p/>
    <w:p>
      <w:pPr>
        <w:keepNext/>
        <w:spacing w:before="320" w:after="120"/>
      </w:pPr>
      <w:r>
        <w:rPr>
          <w:b/>
          <w:color w:val="1A1A2E"/>
          <w:sz w:val="24"/>
        </w:rPr>
        <w:t>Phase 3: Custom Renderers (Weeks 11–16)</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3600"/>
            <w:shd w:val="clear" w:color="auto" w:fill="1a1a2e"/>
          </w:tcPr>
          <w:p>
            <w:r>
              <w:rPr>
                <w:b/>
                <w:color w:val="FFFFFF"/>
                <w:sz w:val="17"/>
              </w:rPr>
              <w:t>Task</w:t>
            </w:r>
          </w:p>
        </w:tc>
        <w:tc>
          <w:tcPr>
            <w:tcW w:type="dxa" w:w="2592"/>
            <w:shd w:val="clear" w:color="auto" w:fill="1a1a2e"/>
          </w:tcPr>
          <w:p>
            <w:r>
              <w:rPr>
                <w:b/>
                <w:color w:val="FFFFFF"/>
                <w:sz w:val="17"/>
              </w:rPr>
              <w:t>Technology</w:t>
            </w:r>
          </w:p>
        </w:tc>
        <w:tc>
          <w:tcPr>
            <w:tcW w:type="dxa" w:w="1152"/>
            <w:shd w:val="clear" w:color="auto" w:fill="1a1a2e"/>
          </w:tcPr>
          <w:p>
            <w:r>
              <w:rPr>
                <w:b/>
                <w:color w:val="FFFFFF"/>
                <w:sz w:val="17"/>
              </w:rPr>
              <w:t>Effort</w:t>
            </w:r>
          </w:p>
        </w:tc>
        <w:tc>
          <w:tcPr>
            <w:tcW w:type="dxa" w:w="3456"/>
            <w:shd w:val="clear" w:color="auto" w:fill="1a1a2e"/>
          </w:tcPr>
          <w:p>
            <w:r>
              <w:rPr>
                <w:b/>
                <w:color w:val="FFFFFF"/>
                <w:sz w:val="17"/>
              </w:rPr>
              <w:t>Impact</w:t>
            </w:r>
          </w:p>
        </w:tc>
      </w:tr>
      <w:tr>
        <w:tc>
          <w:tcPr>
            <w:tcW w:type="dxa" w:w="3600"/>
            <w:shd w:val="clear" w:color="auto" w:fill="FFFFFF"/>
          </w:tcPr>
          <w:p>
            <w:r>
              <w:rPr>
                <w:sz w:val="18"/>
              </w:rPr>
              <w:t>16-bit TIFF decoder (Web Worker)</w:t>
            </w:r>
          </w:p>
        </w:tc>
        <w:tc>
          <w:tcPr>
            <w:tcW w:type="dxa" w:w="2592"/>
            <w:shd w:val="clear" w:color="auto" w:fill="FFFFFF"/>
          </w:tcPr>
          <w:p>
            <w:r>
              <w:rPr>
                <w:sz w:val="18"/>
              </w:rPr>
              <w:t>Raw JS + DataView</w:t>
            </w:r>
          </w:p>
        </w:tc>
        <w:tc>
          <w:tcPr>
            <w:tcW w:type="dxa" w:w="1152"/>
            <w:shd w:val="clear" w:color="auto" w:fill="FFFFFF"/>
          </w:tcPr>
          <w:p>
            <w:r>
              <w:rPr>
                <w:sz w:val="18"/>
              </w:rPr>
              <w:t>4 days</w:t>
            </w:r>
          </w:p>
        </w:tc>
        <w:tc>
          <w:tcPr>
            <w:tcW w:type="dxa" w:w="3456"/>
            <w:shd w:val="clear" w:color="auto" w:fill="FFFFFF"/>
          </w:tcPr>
          <w:p>
            <w:r>
              <w:rPr>
                <w:sz w:val="18"/>
              </w:rPr>
              <w:t>Load any microscopy TIFF</w:t>
            </w:r>
          </w:p>
        </w:tc>
      </w:tr>
      <w:tr>
        <w:tc>
          <w:tcPr>
            <w:tcW w:type="dxa" w:w="3600"/>
            <w:shd w:val="clear" w:color="auto" w:fill="F1F5F9"/>
          </w:tcPr>
          <w:p>
            <w:r>
              <w:rPr>
                <w:sz w:val="18"/>
              </w:rPr>
              <w:t>WebGL2 multi-channel IF compositor</w:t>
            </w:r>
          </w:p>
        </w:tc>
        <w:tc>
          <w:tcPr>
            <w:tcW w:type="dxa" w:w="2592"/>
            <w:shd w:val="clear" w:color="auto" w:fill="F1F5F9"/>
          </w:tcPr>
          <w:p>
            <w:r>
              <w:rPr>
                <w:sz w:val="18"/>
              </w:rPr>
              <w:t>WebGL2 fragment shader</w:t>
            </w:r>
          </w:p>
        </w:tc>
        <w:tc>
          <w:tcPr>
            <w:tcW w:type="dxa" w:w="1152"/>
            <w:shd w:val="clear" w:color="auto" w:fill="F1F5F9"/>
          </w:tcPr>
          <w:p>
            <w:r>
              <w:rPr>
                <w:sz w:val="18"/>
              </w:rPr>
              <w:t>6 days</w:t>
            </w:r>
          </w:p>
        </w:tc>
        <w:tc>
          <w:tcPr>
            <w:tcW w:type="dxa" w:w="3456"/>
            <w:shd w:val="clear" w:color="auto" w:fill="F1F5F9"/>
          </w:tcPr>
          <w:p>
            <w:r>
              <w:rPr>
                <w:sz w:val="18"/>
              </w:rPr>
              <w:t>6-channel IF visualization</w:t>
            </w:r>
          </w:p>
        </w:tc>
      </w:tr>
      <w:tr>
        <w:tc>
          <w:tcPr>
            <w:tcW w:type="dxa" w:w="3600"/>
            <w:shd w:val="clear" w:color="auto" w:fill="FFFFFF"/>
          </w:tcPr>
          <w:p>
            <w:r>
              <w:rPr>
                <w:sz w:val="18"/>
              </w:rPr>
              <w:t>Channel LUT + pseudocolor controls</w:t>
            </w:r>
          </w:p>
        </w:tc>
        <w:tc>
          <w:tcPr>
            <w:tcW w:type="dxa" w:w="2592"/>
            <w:shd w:val="clear" w:color="auto" w:fill="FFFFFF"/>
          </w:tcPr>
          <w:p>
            <w:r>
              <w:rPr>
                <w:sz w:val="18"/>
              </w:rPr>
              <w:t>WebGL texture uniforms</w:t>
            </w:r>
          </w:p>
        </w:tc>
        <w:tc>
          <w:tcPr>
            <w:tcW w:type="dxa" w:w="1152"/>
            <w:shd w:val="clear" w:color="auto" w:fill="FFFFFF"/>
          </w:tcPr>
          <w:p>
            <w:r>
              <w:rPr>
                <w:sz w:val="18"/>
              </w:rPr>
              <w:t>3 days</w:t>
            </w:r>
          </w:p>
        </w:tc>
        <w:tc>
          <w:tcPr>
            <w:tcW w:type="dxa" w:w="3456"/>
            <w:shd w:val="clear" w:color="auto" w:fill="FFFFFF"/>
          </w:tcPr>
          <w:p>
            <w:r>
              <w:rPr>
                <w:sz w:val="18"/>
              </w:rPr>
              <w:t>Researcher-controlled channels</w:t>
            </w:r>
          </w:p>
        </w:tc>
      </w:tr>
      <w:tr>
        <w:tc>
          <w:tcPr>
            <w:tcW w:type="dxa" w:w="3600"/>
            <w:shd w:val="clear" w:color="auto" w:fill="F1F5F9"/>
          </w:tcPr>
          <w:p>
            <w:r>
              <w:rPr>
                <w:sz w:val="18"/>
              </w:rPr>
              <w:t>Custom molecular renderer (instanced)</w:t>
            </w:r>
          </w:p>
        </w:tc>
        <w:tc>
          <w:tcPr>
            <w:tcW w:type="dxa" w:w="2592"/>
            <w:shd w:val="clear" w:color="auto" w:fill="F1F5F9"/>
          </w:tcPr>
          <w:p>
            <w:r>
              <w:rPr>
                <w:sz w:val="18"/>
              </w:rPr>
              <w:t>WebGL2 + regl.js</w:t>
            </w:r>
          </w:p>
        </w:tc>
        <w:tc>
          <w:tcPr>
            <w:tcW w:type="dxa" w:w="1152"/>
            <w:shd w:val="clear" w:color="auto" w:fill="F1F5F9"/>
          </w:tcPr>
          <w:p>
            <w:r>
              <w:rPr>
                <w:sz w:val="18"/>
              </w:rPr>
              <w:t>8 days</w:t>
            </w:r>
          </w:p>
        </w:tc>
        <w:tc>
          <w:tcPr>
            <w:tcW w:type="dxa" w:w="3456"/>
            <w:shd w:val="clear" w:color="auto" w:fill="F1F5F9"/>
          </w:tcPr>
          <w:p>
            <w:r>
              <w:rPr>
                <w:sz w:val="18"/>
              </w:rPr>
              <w:t>HGSOC-specific rendering presets</w:t>
            </w:r>
          </w:p>
        </w:tc>
      </w:tr>
      <w:tr>
        <w:tc>
          <w:tcPr>
            <w:tcW w:type="dxa" w:w="3600"/>
            <w:shd w:val="clear" w:color="auto" w:fill="FFFFFF"/>
          </w:tcPr>
          <w:p>
            <w:r>
              <w:rPr>
                <w:sz w:val="18"/>
              </w:rPr>
              <w:t>AO sphere mode (Speck-style)</w:t>
            </w:r>
          </w:p>
        </w:tc>
        <w:tc>
          <w:tcPr>
            <w:tcW w:type="dxa" w:w="2592"/>
            <w:shd w:val="clear" w:color="auto" w:fill="FFFFFF"/>
          </w:tcPr>
          <w:p>
            <w:r>
              <w:rPr>
                <w:sz w:val="18"/>
              </w:rPr>
              <w:t>WebGL2 + SSAO</w:t>
            </w:r>
          </w:p>
        </w:tc>
        <w:tc>
          <w:tcPr>
            <w:tcW w:type="dxa" w:w="1152"/>
            <w:shd w:val="clear" w:color="auto" w:fill="FFFFFF"/>
          </w:tcPr>
          <w:p>
            <w:r>
              <w:rPr>
                <w:sz w:val="18"/>
              </w:rPr>
              <w:t>5 days</w:t>
            </w:r>
          </w:p>
        </w:tc>
        <w:tc>
          <w:tcPr>
            <w:tcW w:type="dxa" w:w="3456"/>
            <w:shd w:val="clear" w:color="auto" w:fill="FFFFFF"/>
          </w:tcPr>
          <w:p>
            <w:r>
              <w:rPr>
                <w:sz w:val="18"/>
              </w:rPr>
              <w:t>Publication-quality protein figures</w:t>
            </w:r>
          </w:p>
        </w:tc>
      </w:tr>
      <w:tr>
        <w:tc>
          <w:tcPr>
            <w:tcW w:type="dxa" w:w="3600"/>
            <w:shd w:val="clear" w:color="auto" w:fill="F1F5F9"/>
          </w:tcPr>
          <w:p>
            <w:r>
              <w:rPr>
                <w:sz w:val="18"/>
              </w:rPr>
              <w:t>Full pipeline integration + testing</w:t>
            </w:r>
          </w:p>
        </w:tc>
        <w:tc>
          <w:tcPr>
            <w:tcW w:type="dxa" w:w="2592"/>
            <w:shd w:val="clear" w:color="auto" w:fill="F1F5F9"/>
          </w:tcPr>
          <w:p>
            <w:r>
              <w:rPr>
                <w:sz w:val="18"/>
              </w:rPr>
              <w:t>Svelte + Vitest</w:t>
            </w:r>
          </w:p>
        </w:tc>
        <w:tc>
          <w:tcPr>
            <w:tcW w:type="dxa" w:w="1152"/>
            <w:shd w:val="clear" w:color="auto" w:fill="F1F5F9"/>
          </w:tcPr>
          <w:p>
            <w:r>
              <w:rPr>
                <w:sz w:val="18"/>
              </w:rPr>
              <w:t>4 days</w:t>
            </w:r>
          </w:p>
        </w:tc>
        <w:tc>
          <w:tcPr>
            <w:tcW w:type="dxa" w:w="3456"/>
            <w:shd w:val="clear" w:color="auto" w:fill="F1F5F9"/>
          </w:tcPr>
          <w:p>
            <w:r>
              <w:rPr>
                <w:sz w:val="18"/>
              </w:rPr>
              <w:t>Stable release</w:t>
            </w:r>
          </w:p>
        </w:tc>
      </w:tr>
    </w:tbl>
    <w:p/>
    <w:p>
      <w:r>
        <w:br w:type="page"/>
      </w:r>
    </w:p>
    <w:p>
      <w:pPr>
        <w:keepNext/>
        <w:spacing w:before="480" w:after="80"/>
      </w:pPr>
      <w:r>
        <w:rPr>
          <w:b/>
          <w:color w:val="E94560"/>
          <w:sz w:val="18"/>
        </w:rPr>
        <w:t xml:space="preserve">08  </w:t>
      </w:r>
      <w:r>
        <w:rPr>
          <w:b/>
          <w:color w:val="1A1A2E"/>
          <w:sz w:val="32"/>
        </w:rPr>
        <w:t>HGSOC Researcher Pain Points &amp; Feature Mapping</w:t>
      </w:r>
    </w:p>
    <w:p>
      <w:pPr>
        <w:keepNext/>
        <w:spacing w:before="320" w:after="120"/>
      </w:pPr>
      <w:r>
        <w:rPr>
          <w:b/>
          <w:color w:val="1A1A2E"/>
          <w:sz w:val="24"/>
        </w:rPr>
        <w:t>BRCA1/2 Variant Interpretation</w:t>
      </w:r>
    </w:p>
    <w:p>
      <w:pPr>
        <w:spacing w:after="40"/>
      </w:pPr>
      <w:r>
        <w:rPr>
          <w:b/>
          <w:i w:val="0"/>
          <w:color w:val="E94560"/>
          <w:sz w:val="20"/>
        </w:rPr>
        <w:t>The Problem:</w:t>
      </w:r>
    </w:p>
    <w:p>
      <w:pPr>
        <w:spacing w:after="160"/>
      </w:pPr>
      <w:r>
        <w:rPr>
          <w:sz w:val="21"/>
        </w:rPr>
        <w:t>A patient has BRCA1 c.1016dupA — a frameshift variant. Is this pathogenic? Which domain does it disrupt? Currently: search ClinVar, open Chimera locally, find the residue manually in the sequence viewer, check the literature. 45+ minutes per variant.</w:t>
      </w:r>
    </w:p>
    <w:p>
      <w:pPr>
        <w:spacing w:after="40"/>
      </w:pPr>
      <w:r>
        <w:rPr>
          <w:b/>
          <w:i w:val="0"/>
          <w:color w:val="06D6A0"/>
          <w:sz w:val="20"/>
        </w:rPr>
        <w:t>Q-onco Solution:</w:t>
      </w:r>
    </w:p>
    <w:p>
      <w:pPr>
        <w:spacing w:after="160"/>
      </w:pPr>
      <w:r>
        <w:rPr>
          <w:sz w:val="21"/>
        </w:rPr>
        <w:t>Type BRCA1 → load AlphaFold in Mol* → HGSOC behavior highlights frameshift position → domain annotation shown → ESM-2 score in sidebar → ClinVar classification pre-fetched → one-click export generates labeled figure. Time: under 2 minutes.</w:t>
      </w:r>
    </w:p>
    <w:p>
      <w:pPr>
        <w:keepNext/>
        <w:spacing w:before="320" w:after="120"/>
      </w:pPr>
      <w:r>
        <w:rPr>
          <w:b/>
          <w:color w:val="1A1A2E"/>
          <w:sz w:val="24"/>
        </w:rPr>
        <w:t>PARP Inhibitor Resistance Mechanisms</w:t>
      </w:r>
    </w:p>
    <w:p>
      <w:pPr>
        <w:spacing w:after="40"/>
      </w:pPr>
      <w:r>
        <w:rPr>
          <w:b/>
          <w:i w:val="0"/>
          <w:color w:val="E94560"/>
          <w:sz w:val="20"/>
        </w:rPr>
        <w:t>The Problem:</w:t>
      </w:r>
    </w:p>
    <w:p>
      <w:pPr>
        <w:spacing w:after="160"/>
      </w:pPr>
      <w:r>
        <w:rPr>
          <w:sz w:val="21"/>
        </w:rPr>
        <w:t>Patient progresses on olaparib. Reversion mutation in BRCA2? PARP1 promoter hypomethylation? Each hypothesis requires different analyses across different tools that do not communicate.</w:t>
      </w:r>
    </w:p>
    <w:p>
      <w:pPr>
        <w:spacing w:after="40"/>
      </w:pPr>
      <w:r>
        <w:rPr>
          <w:b/>
          <w:i w:val="0"/>
          <w:color w:val="06D6A0"/>
          <w:sz w:val="20"/>
        </w:rPr>
        <w:t>Q-onco Solution:</w:t>
      </w:r>
    </w:p>
    <w:p>
      <w:pPr>
        <w:spacing w:after="160"/>
      </w:pPr>
      <w:r>
        <w:rPr>
          <w:sz w:val="21"/>
        </w:rPr>
        <w:t>Dock olaparib against WT PARP1 + reversion mutant side by side → binding affinity comparison → ESM-2 scores for reversion mutations → genomics tab shows the mutation in context → Enzo synthesizes resistance literature → grant narrative drafts itself.</w:t>
      </w:r>
    </w:p>
    <w:p>
      <w:pPr>
        <w:keepNext/>
        <w:spacing w:before="320" w:after="120"/>
      </w:pPr>
      <w:r>
        <w:rPr>
          <w:b/>
          <w:color w:val="1A1A2E"/>
          <w:sz w:val="24"/>
        </w:rPr>
        <w:t>TME Quantification from Multiplexed IF</w:t>
      </w:r>
    </w:p>
    <w:p>
      <w:pPr>
        <w:spacing w:after="40"/>
      </w:pPr>
      <w:r>
        <w:rPr>
          <w:b/>
          <w:i w:val="0"/>
          <w:color w:val="E94560"/>
          <w:sz w:val="20"/>
        </w:rPr>
        <w:t>The Problem:</w:t>
      </w:r>
    </w:p>
    <w:p>
      <w:pPr>
        <w:spacing w:after="160"/>
      </w:pPr>
      <w:r>
        <w:rPr>
          <w:sz w:val="21"/>
        </w:rPr>
        <w:t>Measuring CD8+ TIL density, PD-L1 expression, macrophage polarization markers. Currently: Fiji → QuPath → Excel → Prism. Four tools, three exports, manual data transfer.</w:t>
      </w:r>
    </w:p>
    <w:p>
      <w:pPr>
        <w:spacing w:after="40"/>
      </w:pPr>
      <w:r>
        <w:rPr>
          <w:b/>
          <w:i w:val="0"/>
          <w:color w:val="06D6A0"/>
          <w:sz w:val="20"/>
        </w:rPr>
        <w:t>Q-onco Solution:</w:t>
      </w:r>
    </w:p>
    <w:p>
      <w:pPr>
        <w:spacing w:after="160"/>
      </w:pPr>
      <w:r>
        <w:rPr>
          <w:sz w:val="21"/>
        </w:rPr>
        <w:t>Load multiplexed TIFF in custom WebGL2 viewer → toggle channels (DAPI/CD8/PD-L1/CK/CD68) → Cellpose segments tumor vs immune cells → feature extraction generates TIL density and H-score → results to Research tab → Enzo drafts TME paragraph. Zero manual data transfer.</w:t>
      </w:r>
    </w:p>
    <w:p>
      <w:pPr>
        <w:keepNext/>
        <w:spacing w:before="320" w:after="120"/>
      </w:pPr>
      <w:r>
        <w:rPr>
          <w:b/>
          <w:color w:val="1A1A2E"/>
          <w:sz w:val="24"/>
        </w:rPr>
        <w:t>TMA Scoring for Biomarker Studies</w:t>
      </w:r>
    </w:p>
    <w:p>
      <w:pPr>
        <w:spacing w:after="40"/>
      </w:pPr>
      <w:r>
        <w:rPr>
          <w:b/>
          <w:i w:val="0"/>
          <w:color w:val="E94560"/>
          <w:sz w:val="20"/>
        </w:rPr>
        <w:t>The Problem:</w:t>
      </w:r>
    </w:p>
    <w:p>
      <w:pPr>
        <w:spacing w:after="160"/>
      </w:pPr>
      <w:r>
        <w:rPr>
          <w:sz w:val="21"/>
        </w:rPr>
        <w:t>Scoring a 200-core TMA for a biomarker study (e.g., RAD51 foci as HR marker). Typical timeline: 2–3 weeks from scan to data table.</w:t>
      </w:r>
    </w:p>
    <w:p>
      <w:pPr>
        <w:spacing w:after="40"/>
      </w:pPr>
      <w:r>
        <w:rPr>
          <w:b/>
          <w:i w:val="0"/>
          <w:color w:val="06D6A0"/>
          <w:sz w:val="20"/>
        </w:rPr>
        <w:t>Q-onco Solution:</w:t>
      </w:r>
    </w:p>
    <w:p>
      <w:pPr>
        <w:spacing w:after="160"/>
      </w:pPr>
      <w:r>
        <w:rPr>
          <w:sz w:val="21"/>
        </w:rPr>
        <w:t>Upload TMA TIFF → automatic core detection → Cellpose segments nuclei per core → channel intensity computed → H-score and Allred score automatic → CSV export linked to clinical metadata. Timeline: 2–3 hours from upload to data table.</w:t>
      </w:r>
    </w:p>
    <w:p>
      <w:r>
        <w:br w:type="page"/>
      </w:r>
    </w:p>
    <w:p>
      <w:pPr>
        <w:keepNext/>
        <w:spacing w:before="480" w:after="80"/>
      </w:pPr>
      <w:r>
        <w:rPr>
          <w:b/>
          <w:color w:val="E94560"/>
          <w:sz w:val="18"/>
        </w:rPr>
        <w:t xml:space="preserve">09  </w:t>
      </w:r>
      <w:r>
        <w:rPr>
          <w:b/>
          <w:color w:val="1A1A2E"/>
          <w:sz w:val="32"/>
        </w:rPr>
        <w:t>Build vs Embed: Decision Framework</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1a1a2e"/>
          </w:tcPr>
          <w:p>
            <w:r>
              <w:rPr>
                <w:b/>
                <w:color w:val="FFFFFF"/>
                <w:sz w:val="17"/>
              </w:rPr>
              <w:t>Tool / Feature</w:t>
            </w:r>
          </w:p>
        </w:tc>
        <w:tc>
          <w:tcPr>
            <w:tcW w:type="dxa" w:w="2160"/>
            <w:shd w:val="clear" w:color="auto" w:fill="1a1a2e"/>
          </w:tcPr>
          <w:p>
            <w:r>
              <w:rPr>
                <w:b/>
                <w:color w:val="FFFFFF"/>
                <w:sz w:val="17"/>
              </w:rPr>
              <w:t>Decision</w:t>
            </w:r>
          </w:p>
        </w:tc>
        <w:tc>
          <w:tcPr>
            <w:tcW w:type="dxa" w:w="5472"/>
            <w:shd w:val="clear" w:color="auto" w:fill="1a1a2e"/>
          </w:tcPr>
          <w:p>
            <w:r>
              <w:rPr>
                <w:b/>
                <w:color w:val="FFFFFF"/>
                <w:sz w:val="17"/>
              </w:rPr>
              <w:t>Rationale</w:t>
            </w:r>
          </w:p>
        </w:tc>
      </w:tr>
      <w:tr>
        <w:tc>
          <w:tcPr>
            <w:tcW w:type="dxa" w:w="3168"/>
            <w:shd w:val="clear" w:color="auto" w:fill="FFFFFF"/>
          </w:tcPr>
          <w:p>
            <w:r>
              <w:rPr>
                <w:sz w:val="18"/>
              </w:rPr>
              <w:t>Protein structure visualization</w:t>
            </w:r>
          </w:p>
        </w:tc>
        <w:tc>
          <w:tcPr>
            <w:tcW w:type="dxa" w:w="2160"/>
            <w:shd w:val="clear" w:color="auto" w:fill="FFFFFF"/>
          </w:tcPr>
          <w:p>
            <w:r>
              <w:rPr>
                <w:sz w:val="18"/>
              </w:rPr>
              <w:t>EMBED Mol*</w:t>
            </w:r>
          </w:p>
        </w:tc>
        <w:tc>
          <w:tcPr>
            <w:tcW w:type="dxa" w:w="5472"/>
            <w:shd w:val="clear" w:color="auto" w:fill="FFFFFF"/>
          </w:tcPr>
          <w:p>
            <w:r>
              <w:rPr>
                <w:sz w:val="18"/>
              </w:rPr>
              <w:t>Does 100% of what we need. Plugin API covers HGSOC customization. MIT.</w:t>
            </w:r>
          </w:p>
        </w:tc>
      </w:tr>
      <w:tr>
        <w:tc>
          <w:tcPr>
            <w:tcW w:type="dxa" w:w="3168"/>
            <w:shd w:val="clear" w:color="auto" w:fill="F1F5F9"/>
          </w:tcPr>
          <w:p>
            <w:r>
              <w:rPr>
                <w:sz w:val="18"/>
              </w:rPr>
              <w:t>Small molecule rendering</w:t>
            </w:r>
          </w:p>
        </w:tc>
        <w:tc>
          <w:tcPr>
            <w:tcW w:type="dxa" w:w="2160"/>
            <w:shd w:val="clear" w:color="auto" w:fill="F1F5F9"/>
          </w:tcPr>
          <w:p>
            <w:r>
              <w:rPr>
                <w:sz w:val="18"/>
              </w:rPr>
              <w:t>EMBED Speck</w:t>
            </w:r>
          </w:p>
        </w:tc>
        <w:tc>
          <w:tcPr>
            <w:tcW w:type="dxa" w:w="5472"/>
            <w:shd w:val="clear" w:color="auto" w:fill="F1F5F9"/>
          </w:tcPr>
          <w:p>
            <w:r>
              <w:rPr>
                <w:sz w:val="18"/>
              </w:rPr>
              <w:t>200KB, AO rendering, perfect for drug figures.</w:t>
            </w:r>
          </w:p>
        </w:tc>
      </w:tr>
      <w:tr>
        <w:tc>
          <w:tcPr>
            <w:tcW w:type="dxa" w:w="3168"/>
            <w:shd w:val="clear" w:color="auto" w:fill="FFFFFF"/>
          </w:tcPr>
          <w:p>
            <w:r>
              <w:rPr>
                <w:sz w:val="18"/>
              </w:rPr>
              <w:t>Docking visualization</w:t>
            </w:r>
          </w:p>
        </w:tc>
        <w:tc>
          <w:tcPr>
            <w:tcW w:type="dxa" w:w="2160"/>
            <w:shd w:val="clear" w:color="auto" w:fill="FFFFFF"/>
          </w:tcPr>
          <w:p>
            <w:r>
              <w:rPr>
                <w:sz w:val="18"/>
              </w:rPr>
              <w:t>EMBED 3Dmol.js</w:t>
            </w:r>
          </w:p>
        </w:tc>
        <w:tc>
          <w:tcPr>
            <w:tcW w:type="dxa" w:w="5472"/>
            <w:shd w:val="clear" w:color="auto" w:fill="FFFFFF"/>
          </w:tcPr>
          <w:p>
            <w:r>
              <w:rPr>
                <w:sz w:val="18"/>
              </w:rPr>
              <w:t>Native PDBQT — essential for Vina output.</w:t>
            </w:r>
          </w:p>
        </w:tc>
      </w:tr>
      <w:tr>
        <w:tc>
          <w:tcPr>
            <w:tcW w:type="dxa" w:w="3168"/>
            <w:shd w:val="clear" w:color="auto" w:fill="F1F5F9"/>
          </w:tcPr>
          <w:p>
            <w:r>
              <w:rPr>
                <w:sz w:val="18"/>
              </w:rPr>
              <w:t>Cell segmentation</w:t>
            </w:r>
          </w:p>
        </w:tc>
        <w:tc>
          <w:tcPr>
            <w:tcW w:type="dxa" w:w="2160"/>
            <w:shd w:val="clear" w:color="auto" w:fill="F1F5F9"/>
          </w:tcPr>
          <w:p>
            <w:r>
              <w:rPr>
                <w:sz w:val="18"/>
              </w:rPr>
              <w:t>EMBED Cellpose</w:t>
            </w:r>
          </w:p>
        </w:tc>
        <w:tc>
          <w:tcPr>
            <w:tcW w:type="dxa" w:w="5472"/>
            <w:shd w:val="clear" w:color="auto" w:fill="F1F5F9"/>
          </w:tcPr>
          <w:p>
            <w:r>
              <w:rPr>
                <w:sz w:val="18"/>
              </w:rPr>
              <w:t>Pre-trained ONNX models, WebGL EP. No need to train.</w:t>
            </w:r>
          </w:p>
        </w:tc>
      </w:tr>
      <w:tr>
        <w:tc>
          <w:tcPr>
            <w:tcW w:type="dxa" w:w="3168"/>
            <w:shd w:val="clear" w:color="auto" w:fill="FFFFFF"/>
          </w:tcPr>
          <w:p>
            <w:r>
              <w:rPr>
                <w:sz w:val="18"/>
              </w:rPr>
              <w:t>Nucleus detection (H&amp;E)</w:t>
            </w:r>
          </w:p>
        </w:tc>
        <w:tc>
          <w:tcPr>
            <w:tcW w:type="dxa" w:w="2160"/>
            <w:shd w:val="clear" w:color="auto" w:fill="FFFFFF"/>
          </w:tcPr>
          <w:p>
            <w:r>
              <w:rPr>
                <w:sz w:val="18"/>
              </w:rPr>
              <w:t>EMBED StarDist</w:t>
            </w:r>
          </w:p>
        </w:tc>
        <w:tc>
          <w:tcPr>
            <w:tcW w:type="dxa" w:w="5472"/>
            <w:shd w:val="clear" w:color="auto" w:fill="FFFFFF"/>
          </w:tcPr>
          <w:p>
            <w:r>
              <w:rPr>
                <w:sz w:val="18"/>
              </w:rPr>
              <w:t>2D_versatile_he is state-of-art for H&amp;E pathology.</w:t>
            </w:r>
          </w:p>
        </w:tc>
      </w:tr>
      <w:tr>
        <w:tc>
          <w:tcPr>
            <w:tcW w:type="dxa" w:w="3168"/>
            <w:shd w:val="clear" w:color="auto" w:fill="F1F5F9"/>
          </w:tcPr>
          <w:p>
            <w:r>
              <w:rPr>
                <w:sz w:val="18"/>
              </w:rPr>
              <w:t>Molecular docking</w:t>
            </w:r>
          </w:p>
        </w:tc>
        <w:tc>
          <w:tcPr>
            <w:tcW w:type="dxa" w:w="2160"/>
            <w:shd w:val="clear" w:color="auto" w:fill="F1F5F9"/>
          </w:tcPr>
          <w:p>
            <w:r>
              <w:rPr>
                <w:sz w:val="18"/>
              </w:rPr>
              <w:t>EMBED Vina WASM</w:t>
            </w:r>
          </w:p>
        </w:tc>
        <w:tc>
          <w:tcPr>
            <w:tcW w:type="dxa" w:w="5472"/>
            <w:shd w:val="clear" w:color="auto" w:fill="F1F5F9"/>
          </w:tcPr>
          <w:p>
            <w:r>
              <w:rPr>
                <w:sz w:val="18"/>
              </w:rPr>
              <w:t>Full C++ Vina compiled to WASM. No browser alternative.</w:t>
            </w:r>
          </w:p>
        </w:tc>
      </w:tr>
      <w:tr>
        <w:tc>
          <w:tcPr>
            <w:tcW w:type="dxa" w:w="3168"/>
            <w:shd w:val="clear" w:color="auto" w:fill="FFFFFF"/>
          </w:tcPr>
          <w:p>
            <w:r>
              <w:rPr>
                <w:sz w:val="18"/>
              </w:rPr>
              <w:t>Genome browser</w:t>
            </w:r>
          </w:p>
        </w:tc>
        <w:tc>
          <w:tcPr>
            <w:tcW w:type="dxa" w:w="2160"/>
            <w:shd w:val="clear" w:color="auto" w:fill="FFFFFF"/>
          </w:tcPr>
          <w:p>
            <w:r>
              <w:rPr>
                <w:sz w:val="18"/>
              </w:rPr>
              <w:t>EMBED IGV.js</w:t>
            </w:r>
          </w:p>
        </w:tc>
        <w:tc>
          <w:tcPr>
            <w:tcW w:type="dxa" w:w="5472"/>
            <w:shd w:val="clear" w:color="auto" w:fill="FFFFFF"/>
          </w:tcPr>
          <w:p>
            <w:r>
              <w:rPr>
                <w:sz w:val="18"/>
              </w:rPr>
              <w:t>Production-grade, HTTP range requests, local BAM. MIT.</w:t>
            </w:r>
          </w:p>
        </w:tc>
      </w:tr>
      <w:tr>
        <w:tc>
          <w:tcPr>
            <w:tcW w:type="dxa" w:w="3168"/>
            <w:shd w:val="clear" w:color="auto" w:fill="F1F5F9"/>
          </w:tcPr>
          <w:p>
            <w:r>
              <w:rPr>
                <w:sz w:val="18"/>
              </w:rPr>
              <w:t>Multi-channel IF viewer</w:t>
            </w:r>
          </w:p>
        </w:tc>
        <w:tc>
          <w:tcPr>
            <w:tcW w:type="dxa" w:w="2160"/>
            <w:shd w:val="clear" w:color="auto" w:fill="F1F5F9"/>
          </w:tcPr>
          <w:p>
            <w:r>
              <w:rPr>
                <w:sz w:val="18"/>
              </w:rPr>
              <w:t>BUILD CUSTOM</w:t>
            </w:r>
          </w:p>
        </w:tc>
        <w:tc>
          <w:tcPr>
            <w:tcW w:type="dxa" w:w="5472"/>
            <w:shd w:val="clear" w:color="auto" w:fill="F1F5F9"/>
          </w:tcPr>
          <w:p>
            <w:r>
              <w:rPr>
                <w:sz w:val="18"/>
              </w:rPr>
              <w:t>No existing browser tool handles 16-bit multi-channel TIFF.</w:t>
            </w:r>
          </w:p>
        </w:tc>
      </w:tr>
      <w:tr>
        <w:tc>
          <w:tcPr>
            <w:tcW w:type="dxa" w:w="3168"/>
            <w:shd w:val="clear" w:color="auto" w:fill="FFFFFF"/>
          </w:tcPr>
          <w:p>
            <w:r>
              <w:rPr>
                <w:sz w:val="18"/>
              </w:rPr>
              <w:t>HGSOC annotation system</w:t>
            </w:r>
          </w:p>
        </w:tc>
        <w:tc>
          <w:tcPr>
            <w:tcW w:type="dxa" w:w="2160"/>
            <w:shd w:val="clear" w:color="auto" w:fill="FFFFFF"/>
          </w:tcPr>
          <w:p>
            <w:r>
              <w:rPr>
                <w:sz w:val="18"/>
              </w:rPr>
              <w:t>BUILD CUSTOM</w:t>
            </w:r>
          </w:p>
        </w:tc>
        <w:tc>
          <w:tcPr>
            <w:tcW w:type="dxa" w:w="5472"/>
            <w:shd w:val="clear" w:color="auto" w:fill="FFFFFF"/>
          </w:tcPr>
          <w:p>
            <w:r>
              <w:rPr>
                <w:sz w:val="18"/>
              </w:rPr>
              <w:t>Unique to our context — BRCA1/2 domains, pathogenic variants.</w:t>
            </w:r>
          </w:p>
        </w:tc>
      </w:tr>
      <w:tr>
        <w:tc>
          <w:tcPr>
            <w:tcW w:type="dxa" w:w="3168"/>
            <w:shd w:val="clear" w:color="auto" w:fill="F1F5F9"/>
          </w:tcPr>
          <w:p>
            <w:r>
              <w:rPr>
                <w:sz w:val="18"/>
              </w:rPr>
              <w:t>Variant pathogenicity scoring</w:t>
            </w:r>
          </w:p>
        </w:tc>
        <w:tc>
          <w:tcPr>
            <w:tcW w:type="dxa" w:w="2160"/>
            <w:shd w:val="clear" w:color="auto" w:fill="F1F5F9"/>
          </w:tcPr>
          <w:p>
            <w:r>
              <w:rPr>
                <w:sz w:val="18"/>
              </w:rPr>
              <w:t>EMBED ESM-2 ONNX</w:t>
            </w:r>
          </w:p>
        </w:tc>
        <w:tc>
          <w:tcPr>
            <w:tcW w:type="dxa" w:w="5472"/>
            <w:shd w:val="clear" w:color="auto" w:fill="F1F5F9"/>
          </w:tcPr>
          <w:p>
            <w:r>
              <w:rPr>
                <w:sz w:val="18"/>
              </w:rPr>
              <w:t>150M param model, WebGL EP. State-of-art protein language model.</w:t>
            </w:r>
          </w:p>
        </w:tc>
      </w:tr>
      <w:tr>
        <w:tc>
          <w:tcPr>
            <w:tcW w:type="dxa" w:w="3168"/>
            <w:shd w:val="clear" w:color="auto" w:fill="FFFFFF"/>
          </w:tcPr>
          <w:p>
            <w:r>
              <w:rPr>
                <w:sz w:val="18"/>
              </w:rPr>
              <w:t>AlphaFold integration</w:t>
            </w:r>
          </w:p>
        </w:tc>
        <w:tc>
          <w:tcPr>
            <w:tcW w:type="dxa" w:w="2160"/>
            <w:shd w:val="clear" w:color="auto" w:fill="FFFFFF"/>
          </w:tcPr>
          <w:p>
            <w:r>
              <w:rPr>
                <w:sz w:val="18"/>
              </w:rPr>
              <w:t>API ONLY</w:t>
            </w:r>
          </w:p>
        </w:tc>
        <w:tc>
          <w:tcPr>
            <w:tcW w:type="dxa" w:w="5472"/>
            <w:shd w:val="clear" w:color="auto" w:fill="FFFFFF"/>
          </w:tcPr>
          <w:p>
            <w:r>
              <w:rPr>
                <w:sz w:val="18"/>
              </w:rPr>
              <w:t>EBI serves 200M pre-computed structures free. Zero compute cost.</w:t>
            </w:r>
          </w:p>
        </w:tc>
      </w:tr>
      <w:tr>
        <w:tc>
          <w:tcPr>
            <w:tcW w:type="dxa" w:w="3168"/>
            <w:shd w:val="clear" w:color="auto" w:fill="F1F5F9"/>
          </w:tcPr>
          <w:p>
            <w:r>
              <w:rPr>
                <w:sz w:val="18"/>
              </w:rPr>
              <w:t>Protein-ligand interactions</w:t>
            </w:r>
          </w:p>
        </w:tc>
        <w:tc>
          <w:tcPr>
            <w:tcW w:type="dxa" w:w="2160"/>
            <w:shd w:val="clear" w:color="auto" w:fill="F1F5F9"/>
          </w:tcPr>
          <w:p>
            <w:r>
              <w:rPr>
                <w:sz w:val="18"/>
              </w:rPr>
              <w:t>BUILD PLIP-lite</w:t>
            </w:r>
          </w:p>
        </w:tc>
        <w:tc>
          <w:tcPr>
            <w:tcW w:type="dxa" w:w="5472"/>
            <w:shd w:val="clear" w:color="auto" w:fill="F1F5F9"/>
          </w:tcPr>
          <w:p>
            <w:r>
              <w:rPr>
                <w:sz w:val="18"/>
              </w:rPr>
              <w:t>PLIP is Python-only. ~500 lines of JS geometry covers 90%.</w:t>
            </w:r>
          </w:p>
        </w:tc>
      </w:tr>
    </w:tbl>
    <w:p/>
    <w:p>
      <w:r>
        <w:br w:type="page"/>
      </w:r>
    </w:p>
    <w:p>
      <w:pPr>
        <w:keepNext/>
        <w:spacing w:before="480" w:after="80"/>
      </w:pPr>
      <w:r>
        <w:rPr>
          <w:b/>
          <w:color w:val="E94560"/>
          <w:sz w:val="18"/>
        </w:rPr>
        <w:t xml:space="preserve">10  </w:t>
      </w:r>
      <w:r>
        <w:rPr>
          <w:b/>
          <w:color w:val="1A1A2E"/>
          <w:sz w:val="32"/>
        </w:rPr>
        <w:t>Appendix: Technology Reference Cards</w:t>
      </w:r>
    </w:p>
    <w:p>
      <w:pPr>
        <w:keepNext/>
        <w:spacing w:before="320" w:after="120"/>
      </w:pPr>
      <w:r>
        <w:rPr>
          <w:b/>
          <w:color w:val="1A1A2E"/>
          <w:sz w:val="24"/>
        </w:rPr>
        <w:t>Molecular Visualization Libraries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84"/>
            <w:shd w:val="clear" w:color="auto" w:fill="1a1a2e"/>
          </w:tcPr>
          <w:p>
            <w:r>
              <w:rPr>
                <w:b/>
                <w:color w:val="FFFFFF"/>
                <w:sz w:val="17"/>
              </w:rPr>
              <w:t>Library</w:t>
            </w:r>
          </w:p>
        </w:tc>
        <w:tc>
          <w:tcPr>
            <w:tcW w:type="dxa" w:w="1584"/>
            <w:shd w:val="clear" w:color="auto" w:fill="1a1a2e"/>
          </w:tcPr>
          <w:p>
            <w:r>
              <w:rPr>
                <w:b/>
                <w:color w:val="FFFFFF"/>
                <w:sz w:val="17"/>
              </w:rPr>
              <w:t>npm</w:t>
            </w:r>
          </w:p>
        </w:tc>
        <w:tc>
          <w:tcPr>
            <w:tcW w:type="dxa" w:w="1440"/>
            <w:shd w:val="clear" w:color="auto" w:fill="1a1a2e"/>
          </w:tcPr>
          <w:p>
            <w:r>
              <w:rPr>
                <w:b/>
                <w:color w:val="FFFFFF"/>
                <w:sz w:val="17"/>
              </w:rPr>
              <w:t>Gzip Size</w:t>
            </w:r>
          </w:p>
        </w:tc>
        <w:tc>
          <w:tcPr>
            <w:tcW w:type="dxa" w:w="1152"/>
            <w:shd w:val="clear" w:color="auto" w:fill="1a1a2e"/>
          </w:tcPr>
          <w:p>
            <w:r>
              <w:rPr>
                <w:b/>
                <w:color w:val="FFFFFF"/>
                <w:sz w:val="17"/>
              </w:rPr>
              <w:t>License</w:t>
            </w:r>
          </w:p>
        </w:tc>
        <w:tc>
          <w:tcPr>
            <w:tcW w:type="dxa" w:w="1296"/>
            <w:shd w:val="clear" w:color="auto" w:fill="1a1a2e"/>
          </w:tcPr>
          <w:p>
            <w:r>
              <w:rPr>
                <w:b/>
                <w:color w:val="FFFFFF"/>
                <w:sz w:val="17"/>
              </w:rPr>
              <w:t>WebGL</w:t>
            </w:r>
          </w:p>
        </w:tc>
        <w:tc>
          <w:tcPr>
            <w:tcW w:type="dxa" w:w="3744"/>
            <w:shd w:val="clear" w:color="auto" w:fill="1a1a2e"/>
          </w:tcPr>
          <w:p>
            <w:r>
              <w:rPr>
                <w:b/>
                <w:color w:val="FFFFFF"/>
                <w:sz w:val="17"/>
              </w:rPr>
              <w:t>Key Feature</w:t>
            </w:r>
          </w:p>
        </w:tc>
      </w:tr>
      <w:tr>
        <w:tc>
          <w:tcPr>
            <w:tcW w:type="dxa" w:w="1584"/>
            <w:shd w:val="clear" w:color="auto" w:fill="FFFFFF"/>
          </w:tcPr>
          <w:p>
            <w:r>
              <w:rPr>
                <w:sz w:val="18"/>
              </w:rPr>
              <w:t>Mol*</w:t>
            </w:r>
          </w:p>
        </w:tc>
        <w:tc>
          <w:tcPr>
            <w:tcW w:type="dxa" w:w="1584"/>
            <w:shd w:val="clear" w:color="auto" w:fill="FFFFFF"/>
          </w:tcPr>
          <w:p>
            <w:r>
              <w:rPr>
                <w:sz w:val="18"/>
              </w:rPr>
              <w:t>molstar</w:t>
            </w:r>
          </w:p>
        </w:tc>
        <w:tc>
          <w:tcPr>
            <w:tcW w:type="dxa" w:w="1440"/>
            <w:shd w:val="clear" w:color="auto" w:fill="FFFFFF"/>
          </w:tcPr>
          <w:p>
            <w:r>
              <w:rPr>
                <w:sz w:val="18"/>
              </w:rPr>
              <w:t>~2MB</w:t>
            </w:r>
          </w:p>
        </w:tc>
        <w:tc>
          <w:tcPr>
            <w:tcW w:type="dxa" w:w="1152"/>
            <w:shd w:val="clear" w:color="auto" w:fill="FFFFFF"/>
          </w:tcPr>
          <w:p>
            <w:r>
              <w:rPr>
                <w:sz w:val="18"/>
              </w:rPr>
              <w:t>MIT</w:t>
            </w:r>
          </w:p>
        </w:tc>
        <w:tc>
          <w:tcPr>
            <w:tcW w:type="dxa" w:w="1296"/>
            <w:shd w:val="clear" w:color="auto" w:fill="FFFFFF"/>
          </w:tcPr>
          <w:p>
            <w:r>
              <w:rPr>
                <w:sz w:val="18"/>
              </w:rPr>
              <w:t>WebGL2</w:t>
            </w:r>
          </w:p>
        </w:tc>
        <w:tc>
          <w:tcPr>
            <w:tcW w:type="dxa" w:w="3744"/>
            <w:shd w:val="clear" w:color="auto" w:fill="FFFFFF"/>
          </w:tcPr>
          <w:p>
            <w:r>
              <w:rPr>
                <w:sz w:val="18"/>
              </w:rPr>
              <w:t>Plugin system + MOLJ state</w:t>
            </w:r>
          </w:p>
        </w:tc>
      </w:tr>
      <w:tr>
        <w:tc>
          <w:tcPr>
            <w:tcW w:type="dxa" w:w="1584"/>
            <w:shd w:val="clear" w:color="auto" w:fill="F1F5F9"/>
          </w:tcPr>
          <w:p>
            <w:r>
              <w:rPr>
                <w:sz w:val="18"/>
              </w:rPr>
              <w:t>NGL</w:t>
            </w:r>
          </w:p>
        </w:tc>
        <w:tc>
          <w:tcPr>
            <w:tcW w:type="dxa" w:w="1584"/>
            <w:shd w:val="clear" w:color="auto" w:fill="F1F5F9"/>
          </w:tcPr>
          <w:p>
            <w:r>
              <w:rPr>
                <w:sz w:val="18"/>
              </w:rPr>
              <w:t>ngl</w:t>
            </w:r>
          </w:p>
        </w:tc>
        <w:tc>
          <w:tcPr>
            <w:tcW w:type="dxa" w:w="1440"/>
            <w:shd w:val="clear" w:color="auto" w:fill="F1F5F9"/>
          </w:tcPr>
          <w:p>
            <w:r>
              <w:rPr>
                <w:sz w:val="18"/>
              </w:rPr>
              <w:t>~800KB</w:t>
            </w:r>
          </w:p>
        </w:tc>
        <w:tc>
          <w:tcPr>
            <w:tcW w:type="dxa" w:w="1152"/>
            <w:shd w:val="clear" w:color="auto" w:fill="F1F5F9"/>
          </w:tcPr>
          <w:p>
            <w:r>
              <w:rPr>
                <w:sz w:val="18"/>
              </w:rPr>
              <w:t>MIT</w:t>
            </w:r>
          </w:p>
        </w:tc>
        <w:tc>
          <w:tcPr>
            <w:tcW w:type="dxa" w:w="1296"/>
            <w:shd w:val="clear" w:color="auto" w:fill="F1F5F9"/>
          </w:tcPr>
          <w:p>
            <w:r>
              <w:rPr>
                <w:sz w:val="18"/>
              </w:rPr>
              <w:t>WebGL1/2</w:t>
            </w:r>
          </w:p>
        </w:tc>
        <w:tc>
          <w:tcPr>
            <w:tcW w:type="dxa" w:w="3744"/>
            <w:shd w:val="clear" w:color="auto" w:fill="F1F5F9"/>
          </w:tcPr>
          <w:p>
            <w:r>
              <w:rPr>
                <w:sz w:val="18"/>
              </w:rPr>
              <w:t>30+ format parsers</w:t>
            </w:r>
          </w:p>
        </w:tc>
      </w:tr>
      <w:tr>
        <w:tc>
          <w:tcPr>
            <w:tcW w:type="dxa" w:w="1584"/>
            <w:shd w:val="clear" w:color="auto" w:fill="FFFFFF"/>
          </w:tcPr>
          <w:p>
            <w:r>
              <w:rPr>
                <w:sz w:val="18"/>
              </w:rPr>
              <w:t>3Dmol.js</w:t>
            </w:r>
          </w:p>
        </w:tc>
        <w:tc>
          <w:tcPr>
            <w:tcW w:type="dxa" w:w="1584"/>
            <w:shd w:val="clear" w:color="auto" w:fill="FFFFFF"/>
          </w:tcPr>
          <w:p>
            <w:r>
              <w:rPr>
                <w:sz w:val="18"/>
              </w:rPr>
              <w:t>3dmol</w:t>
            </w:r>
          </w:p>
        </w:tc>
        <w:tc>
          <w:tcPr>
            <w:tcW w:type="dxa" w:w="1440"/>
            <w:shd w:val="clear" w:color="auto" w:fill="FFFFFF"/>
          </w:tcPr>
          <w:p>
            <w:r>
              <w:rPr>
                <w:sz w:val="18"/>
              </w:rPr>
              <w:t>~600KB</w:t>
            </w:r>
          </w:p>
        </w:tc>
        <w:tc>
          <w:tcPr>
            <w:tcW w:type="dxa" w:w="1152"/>
            <w:shd w:val="clear" w:color="auto" w:fill="FFFFFF"/>
          </w:tcPr>
          <w:p>
            <w:r>
              <w:rPr>
                <w:sz w:val="18"/>
              </w:rPr>
              <w:t>BSD-3</w:t>
            </w:r>
          </w:p>
        </w:tc>
        <w:tc>
          <w:tcPr>
            <w:tcW w:type="dxa" w:w="1296"/>
            <w:shd w:val="clear" w:color="auto" w:fill="FFFFFF"/>
          </w:tcPr>
          <w:p>
            <w:r>
              <w:rPr>
                <w:sz w:val="18"/>
              </w:rPr>
              <w:t>WebGL1</w:t>
            </w:r>
          </w:p>
        </w:tc>
        <w:tc>
          <w:tcPr>
            <w:tcW w:type="dxa" w:w="3744"/>
            <w:shd w:val="clear" w:color="auto" w:fill="FFFFFF"/>
          </w:tcPr>
          <w:p>
            <w:r>
              <w:rPr>
                <w:sz w:val="18"/>
              </w:rPr>
              <w:t>Native PDBQT support</w:t>
            </w:r>
          </w:p>
        </w:tc>
      </w:tr>
      <w:tr>
        <w:tc>
          <w:tcPr>
            <w:tcW w:type="dxa" w:w="1584"/>
            <w:shd w:val="clear" w:color="auto" w:fill="F1F5F9"/>
          </w:tcPr>
          <w:p>
            <w:r>
              <w:rPr>
                <w:sz w:val="18"/>
              </w:rPr>
              <w:t>Speck</w:t>
            </w:r>
          </w:p>
        </w:tc>
        <w:tc>
          <w:tcPr>
            <w:tcW w:type="dxa" w:w="1584"/>
            <w:shd w:val="clear" w:color="auto" w:fill="F1F5F9"/>
          </w:tcPr>
          <w:p>
            <w:r>
              <w:rPr>
                <w:sz w:val="18"/>
              </w:rPr>
              <w:t>speck</w:t>
            </w:r>
          </w:p>
        </w:tc>
        <w:tc>
          <w:tcPr>
            <w:tcW w:type="dxa" w:w="1440"/>
            <w:shd w:val="clear" w:color="auto" w:fill="F1F5F9"/>
          </w:tcPr>
          <w:p>
            <w:r>
              <w:rPr>
                <w:sz w:val="18"/>
              </w:rPr>
              <w:t>~200KB</w:t>
            </w:r>
          </w:p>
        </w:tc>
        <w:tc>
          <w:tcPr>
            <w:tcW w:type="dxa" w:w="1152"/>
            <w:shd w:val="clear" w:color="auto" w:fill="F1F5F9"/>
          </w:tcPr>
          <w:p>
            <w:r>
              <w:rPr>
                <w:sz w:val="18"/>
              </w:rPr>
              <w:t>MIT</w:t>
            </w:r>
          </w:p>
        </w:tc>
        <w:tc>
          <w:tcPr>
            <w:tcW w:type="dxa" w:w="1296"/>
            <w:shd w:val="clear" w:color="auto" w:fill="F1F5F9"/>
          </w:tcPr>
          <w:p>
            <w:r>
              <w:rPr>
                <w:sz w:val="18"/>
              </w:rPr>
              <w:t>WebGL1</w:t>
            </w:r>
          </w:p>
        </w:tc>
        <w:tc>
          <w:tcPr>
            <w:tcW w:type="dxa" w:w="3744"/>
            <w:shd w:val="clear" w:color="auto" w:fill="F1F5F9"/>
          </w:tcPr>
          <w:p>
            <w:r>
              <w:rPr>
                <w:sz w:val="18"/>
              </w:rPr>
              <w:t>AO sphere rendering</w:t>
            </w:r>
          </w:p>
        </w:tc>
      </w:tr>
    </w:tbl>
    <w:p/>
    <w:p>
      <w:pPr>
        <w:keepNext/>
        <w:spacing w:before="320" w:after="120"/>
      </w:pPr>
      <w:r>
        <w:rPr>
          <w:b/>
          <w:color w:val="1A1A2E"/>
          <w:sz w:val="24"/>
        </w:rPr>
        <w:t>HGSOC Protein Quick Reference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296"/>
            <w:shd w:val="clear" w:color="auto" w:fill="1a1a2e"/>
          </w:tcPr>
          <w:p>
            <w:r>
              <w:rPr>
                <w:b/>
                <w:color w:val="FFFFFF"/>
                <w:sz w:val="17"/>
              </w:rPr>
              <w:t>Gene</w:t>
            </w:r>
          </w:p>
        </w:tc>
        <w:tc>
          <w:tcPr>
            <w:tcW w:type="dxa" w:w="1296"/>
            <w:shd w:val="clear" w:color="auto" w:fill="1a1a2e"/>
          </w:tcPr>
          <w:p>
            <w:r>
              <w:rPr>
                <w:b/>
                <w:color w:val="FFFFFF"/>
                <w:sz w:val="17"/>
              </w:rPr>
              <w:t>UniProt</w:t>
            </w:r>
          </w:p>
        </w:tc>
        <w:tc>
          <w:tcPr>
            <w:tcW w:type="dxa" w:w="1584"/>
            <w:shd w:val="clear" w:color="auto" w:fill="1a1a2e"/>
          </w:tcPr>
          <w:p>
            <w:r>
              <w:rPr>
                <w:b/>
                <w:color w:val="FFFFFF"/>
                <w:sz w:val="17"/>
              </w:rPr>
              <w:t>AF Available</w:t>
            </w:r>
          </w:p>
        </w:tc>
        <w:tc>
          <w:tcPr>
            <w:tcW w:type="dxa" w:w="2016"/>
            <w:shd w:val="clear" w:color="auto" w:fill="1a1a2e"/>
          </w:tcPr>
          <w:p>
            <w:r>
              <w:rPr>
                <w:b/>
                <w:color w:val="FFFFFF"/>
                <w:sz w:val="17"/>
              </w:rPr>
              <w:t>HGSOC Frequency</w:t>
            </w:r>
          </w:p>
        </w:tc>
        <w:tc>
          <w:tcPr>
            <w:tcW w:type="dxa" w:w="4608"/>
            <w:shd w:val="clear" w:color="auto" w:fill="1a1a2e"/>
          </w:tcPr>
          <w:p>
            <w:r>
              <w:rPr>
                <w:b/>
                <w:color w:val="FFFFFF"/>
                <w:sz w:val="17"/>
              </w:rPr>
              <w:t>Key Mutations</w:t>
            </w:r>
          </w:p>
        </w:tc>
      </w:tr>
      <w:tr>
        <w:tc>
          <w:tcPr>
            <w:tcW w:type="dxa" w:w="1296"/>
            <w:shd w:val="clear" w:color="auto" w:fill="FFFFFF"/>
          </w:tcPr>
          <w:p>
            <w:r>
              <w:rPr>
                <w:sz w:val="18"/>
              </w:rPr>
              <w:t>BRCA1</w:t>
            </w:r>
          </w:p>
        </w:tc>
        <w:tc>
          <w:tcPr>
            <w:tcW w:type="dxa" w:w="1296"/>
            <w:shd w:val="clear" w:color="auto" w:fill="FFFFFF"/>
          </w:tcPr>
          <w:p>
            <w:r>
              <w:rPr>
                <w:sz w:val="18"/>
              </w:rPr>
              <w:t>P38398</w:t>
            </w:r>
          </w:p>
        </w:tc>
        <w:tc>
          <w:tcPr>
            <w:tcW w:type="dxa" w:w="1584"/>
            <w:shd w:val="clear" w:color="auto" w:fill="FFFFFF"/>
          </w:tcPr>
          <w:p>
            <w:r>
              <w:rPr>
                <w:sz w:val="18"/>
              </w:rPr>
              <w:t>Yes</w:t>
            </w:r>
          </w:p>
        </w:tc>
        <w:tc>
          <w:tcPr>
            <w:tcW w:type="dxa" w:w="2016"/>
            <w:shd w:val="clear" w:color="auto" w:fill="FFFFFF"/>
          </w:tcPr>
          <w:p>
            <w:r>
              <w:rPr>
                <w:sz w:val="18"/>
              </w:rPr>
              <w:t>~12%</w:t>
            </w:r>
          </w:p>
        </w:tc>
        <w:tc>
          <w:tcPr>
            <w:tcW w:type="dxa" w:w="4608"/>
            <w:shd w:val="clear" w:color="auto" w:fill="FFFFFF"/>
          </w:tcPr>
          <w:p>
            <w:r>
              <w:rPr>
                <w:sz w:val="18"/>
              </w:rPr>
              <w:t>5382insC, C61G, RING/BRCT domains</w:t>
            </w:r>
          </w:p>
        </w:tc>
      </w:tr>
      <w:tr>
        <w:tc>
          <w:tcPr>
            <w:tcW w:type="dxa" w:w="1296"/>
            <w:shd w:val="clear" w:color="auto" w:fill="F1F5F9"/>
          </w:tcPr>
          <w:p>
            <w:r>
              <w:rPr>
                <w:sz w:val="18"/>
              </w:rPr>
              <w:t>BRCA2</w:t>
            </w:r>
          </w:p>
        </w:tc>
        <w:tc>
          <w:tcPr>
            <w:tcW w:type="dxa" w:w="1296"/>
            <w:shd w:val="clear" w:color="auto" w:fill="F1F5F9"/>
          </w:tcPr>
          <w:p>
            <w:r>
              <w:rPr>
                <w:sz w:val="18"/>
              </w:rPr>
              <w:t>P51587</w:t>
            </w:r>
          </w:p>
        </w:tc>
        <w:tc>
          <w:tcPr>
            <w:tcW w:type="dxa" w:w="1584"/>
            <w:shd w:val="clear" w:color="auto" w:fill="F1F5F9"/>
          </w:tcPr>
          <w:p>
            <w:r>
              <w:rPr>
                <w:sz w:val="18"/>
              </w:rPr>
              <w:t>Yes</w:t>
            </w:r>
          </w:p>
        </w:tc>
        <w:tc>
          <w:tcPr>
            <w:tcW w:type="dxa" w:w="2016"/>
            <w:shd w:val="clear" w:color="auto" w:fill="F1F5F9"/>
          </w:tcPr>
          <w:p>
            <w:r>
              <w:rPr>
                <w:sz w:val="18"/>
              </w:rPr>
              <w:t>~8%</w:t>
            </w:r>
          </w:p>
        </w:tc>
        <w:tc>
          <w:tcPr>
            <w:tcW w:type="dxa" w:w="4608"/>
            <w:shd w:val="clear" w:color="auto" w:fill="F1F5F9"/>
          </w:tcPr>
          <w:p>
            <w:r>
              <w:rPr>
                <w:sz w:val="18"/>
              </w:rPr>
              <w:t>6174delT, 11q frameshift</w:t>
            </w:r>
          </w:p>
        </w:tc>
      </w:tr>
      <w:tr>
        <w:tc>
          <w:tcPr>
            <w:tcW w:type="dxa" w:w="1296"/>
            <w:shd w:val="clear" w:color="auto" w:fill="FFFFFF"/>
          </w:tcPr>
          <w:p>
            <w:r>
              <w:rPr>
                <w:sz w:val="18"/>
              </w:rPr>
              <w:t>PALB2</w:t>
            </w:r>
          </w:p>
        </w:tc>
        <w:tc>
          <w:tcPr>
            <w:tcW w:type="dxa" w:w="1296"/>
            <w:shd w:val="clear" w:color="auto" w:fill="FFFFFF"/>
          </w:tcPr>
          <w:p>
            <w:r>
              <w:rPr>
                <w:sz w:val="18"/>
              </w:rPr>
              <w:t>Q86YC2</w:t>
            </w:r>
          </w:p>
        </w:tc>
        <w:tc>
          <w:tcPr>
            <w:tcW w:type="dxa" w:w="1584"/>
            <w:shd w:val="clear" w:color="auto" w:fill="FFFFFF"/>
          </w:tcPr>
          <w:p>
            <w:r>
              <w:rPr>
                <w:sz w:val="18"/>
              </w:rPr>
              <w:t>Yes</w:t>
            </w:r>
          </w:p>
        </w:tc>
        <w:tc>
          <w:tcPr>
            <w:tcW w:type="dxa" w:w="2016"/>
            <w:shd w:val="clear" w:color="auto" w:fill="FFFFFF"/>
          </w:tcPr>
          <w:p>
            <w:r>
              <w:rPr>
                <w:sz w:val="18"/>
              </w:rPr>
              <w:t>~3%</w:t>
            </w:r>
          </w:p>
        </w:tc>
        <w:tc>
          <w:tcPr>
            <w:tcW w:type="dxa" w:w="4608"/>
            <w:shd w:val="clear" w:color="auto" w:fill="FFFFFF"/>
          </w:tcPr>
          <w:p>
            <w:r>
              <w:rPr>
                <w:sz w:val="18"/>
              </w:rPr>
              <w:t>c.3113+5A→G splice</w:t>
            </w:r>
          </w:p>
        </w:tc>
      </w:tr>
      <w:tr>
        <w:tc>
          <w:tcPr>
            <w:tcW w:type="dxa" w:w="1296"/>
            <w:shd w:val="clear" w:color="auto" w:fill="F1F5F9"/>
          </w:tcPr>
          <w:p>
            <w:r>
              <w:rPr>
                <w:sz w:val="18"/>
              </w:rPr>
              <w:t>PARP1</w:t>
            </w:r>
          </w:p>
        </w:tc>
        <w:tc>
          <w:tcPr>
            <w:tcW w:type="dxa" w:w="1296"/>
            <w:shd w:val="clear" w:color="auto" w:fill="F1F5F9"/>
          </w:tcPr>
          <w:p>
            <w:r>
              <w:rPr>
                <w:sz w:val="18"/>
              </w:rPr>
              <w:t>P09874</w:t>
            </w:r>
          </w:p>
        </w:tc>
        <w:tc>
          <w:tcPr>
            <w:tcW w:type="dxa" w:w="1584"/>
            <w:shd w:val="clear" w:color="auto" w:fill="F1F5F9"/>
          </w:tcPr>
          <w:p>
            <w:r>
              <w:rPr>
                <w:sz w:val="18"/>
              </w:rPr>
              <w:t>Yes</w:t>
            </w:r>
          </w:p>
        </w:tc>
        <w:tc>
          <w:tcPr>
            <w:tcW w:type="dxa" w:w="2016"/>
            <w:shd w:val="clear" w:color="auto" w:fill="F1F5F9"/>
          </w:tcPr>
          <w:p>
            <w:r>
              <w:rPr>
                <w:sz w:val="18"/>
              </w:rPr>
              <w:t>Drug target</w:t>
            </w:r>
          </w:p>
        </w:tc>
        <w:tc>
          <w:tcPr>
            <w:tcW w:type="dxa" w:w="4608"/>
            <w:shd w:val="clear" w:color="auto" w:fill="F1F5F9"/>
          </w:tcPr>
          <w:p>
            <w:r>
              <w:rPr>
                <w:sz w:val="18"/>
              </w:rPr>
              <w:t>Olaparib/niraparib binding</w:t>
            </w:r>
          </w:p>
        </w:tc>
      </w:tr>
      <w:tr>
        <w:tc>
          <w:tcPr>
            <w:tcW w:type="dxa" w:w="1296"/>
            <w:shd w:val="clear" w:color="auto" w:fill="FFFFFF"/>
          </w:tcPr>
          <w:p>
            <w:r>
              <w:rPr>
                <w:sz w:val="18"/>
              </w:rPr>
              <w:t>TP53</w:t>
            </w:r>
          </w:p>
        </w:tc>
        <w:tc>
          <w:tcPr>
            <w:tcW w:type="dxa" w:w="1296"/>
            <w:shd w:val="clear" w:color="auto" w:fill="FFFFFF"/>
          </w:tcPr>
          <w:p>
            <w:r>
              <w:rPr>
                <w:sz w:val="18"/>
              </w:rPr>
              <w:t>P04637</w:t>
            </w:r>
          </w:p>
        </w:tc>
        <w:tc>
          <w:tcPr>
            <w:tcW w:type="dxa" w:w="1584"/>
            <w:shd w:val="clear" w:color="auto" w:fill="FFFFFF"/>
          </w:tcPr>
          <w:p>
            <w:r>
              <w:rPr>
                <w:sz w:val="18"/>
              </w:rPr>
              <w:t>Yes</w:t>
            </w:r>
          </w:p>
        </w:tc>
        <w:tc>
          <w:tcPr>
            <w:tcW w:type="dxa" w:w="2016"/>
            <w:shd w:val="clear" w:color="auto" w:fill="FFFFFF"/>
          </w:tcPr>
          <w:p>
            <w:r>
              <w:rPr>
                <w:sz w:val="18"/>
              </w:rPr>
              <w:t>~96%</w:t>
            </w:r>
          </w:p>
        </w:tc>
        <w:tc>
          <w:tcPr>
            <w:tcW w:type="dxa" w:w="4608"/>
            <w:shd w:val="clear" w:color="auto" w:fill="FFFFFF"/>
          </w:tcPr>
          <w:p>
            <w:r>
              <w:rPr>
                <w:sz w:val="18"/>
              </w:rPr>
              <w:t>R248W/Q, R175H</w:t>
            </w:r>
          </w:p>
        </w:tc>
      </w:tr>
      <w:tr>
        <w:tc>
          <w:tcPr>
            <w:tcW w:type="dxa" w:w="1296"/>
            <w:shd w:val="clear" w:color="auto" w:fill="F1F5F9"/>
          </w:tcPr>
          <w:p>
            <w:r>
              <w:rPr>
                <w:sz w:val="18"/>
              </w:rPr>
              <w:t>CDK12</w:t>
            </w:r>
          </w:p>
        </w:tc>
        <w:tc>
          <w:tcPr>
            <w:tcW w:type="dxa" w:w="1296"/>
            <w:shd w:val="clear" w:color="auto" w:fill="F1F5F9"/>
          </w:tcPr>
          <w:p>
            <w:r>
              <w:rPr>
                <w:sz w:val="18"/>
              </w:rPr>
              <w:t>Q9NYV4</w:t>
            </w:r>
          </w:p>
        </w:tc>
        <w:tc>
          <w:tcPr>
            <w:tcW w:type="dxa" w:w="1584"/>
            <w:shd w:val="clear" w:color="auto" w:fill="F1F5F9"/>
          </w:tcPr>
          <w:p>
            <w:r>
              <w:rPr>
                <w:sz w:val="18"/>
              </w:rPr>
              <w:t>Yes</w:t>
            </w:r>
          </w:p>
        </w:tc>
        <w:tc>
          <w:tcPr>
            <w:tcW w:type="dxa" w:w="2016"/>
            <w:shd w:val="clear" w:color="auto" w:fill="F1F5F9"/>
          </w:tcPr>
          <w:p>
            <w:r>
              <w:rPr>
                <w:sz w:val="18"/>
              </w:rPr>
              <w:t>~3%</w:t>
            </w:r>
          </w:p>
        </w:tc>
        <w:tc>
          <w:tcPr>
            <w:tcW w:type="dxa" w:w="4608"/>
            <w:shd w:val="clear" w:color="auto" w:fill="F1F5F9"/>
          </w:tcPr>
          <w:p>
            <w:r>
              <w:rPr>
                <w:sz w:val="18"/>
              </w:rPr>
              <w:t>Frameshift mutations</w:t>
            </w:r>
          </w:p>
        </w:tc>
      </w:tr>
    </w:tbl>
    <w:p/>
    <w:p>
      <w:pPr>
        <w:keepNext/>
        <w:spacing w:before="320" w:after="120"/>
      </w:pPr>
      <w:r>
        <w:rPr>
          <w:b/>
          <w:color w:val="1A1A2E"/>
          <w:sz w:val="24"/>
        </w:rPr>
        <w:t>Browser API Requirements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04"/>
            <w:shd w:val="clear" w:color="auto" w:fill="1a1a2e"/>
          </w:tcPr>
          <w:p>
            <w:r>
              <w:rPr>
                <w:b/>
                <w:color w:val="FFFFFF"/>
                <w:sz w:val="17"/>
              </w:rPr>
              <w:t>API</w:t>
            </w:r>
          </w:p>
        </w:tc>
        <w:tc>
          <w:tcPr>
            <w:tcW w:type="dxa" w:w="3312"/>
            <w:shd w:val="clear" w:color="auto" w:fill="1a1a2e"/>
          </w:tcPr>
          <w:p>
            <w:r>
              <w:rPr>
                <w:b/>
                <w:color w:val="FFFFFF"/>
                <w:sz w:val="17"/>
              </w:rPr>
              <w:t>Required For</w:t>
            </w:r>
          </w:p>
        </w:tc>
        <w:tc>
          <w:tcPr>
            <w:tcW w:type="dxa" w:w="1872"/>
            <w:shd w:val="clear" w:color="auto" w:fill="1a1a2e"/>
          </w:tcPr>
          <w:p>
            <w:r>
              <w:rPr>
                <w:b/>
                <w:color w:val="FFFFFF"/>
                <w:sz w:val="17"/>
              </w:rPr>
              <w:t>Browser Support</w:t>
            </w:r>
          </w:p>
        </w:tc>
        <w:tc>
          <w:tcPr>
            <w:tcW w:type="dxa" w:w="3312"/>
            <w:shd w:val="clear" w:color="auto" w:fill="1a1a2e"/>
          </w:tcPr>
          <w:p>
            <w:r>
              <w:rPr>
                <w:b/>
                <w:color w:val="FFFFFF"/>
                <w:sz w:val="17"/>
              </w:rPr>
              <w:t>Notes</w:t>
            </w:r>
          </w:p>
        </w:tc>
      </w:tr>
      <w:tr>
        <w:tc>
          <w:tcPr>
            <w:tcW w:type="dxa" w:w="2304"/>
            <w:shd w:val="clear" w:color="auto" w:fill="FFFFFF"/>
          </w:tcPr>
          <w:p>
            <w:r>
              <w:rPr>
                <w:sz w:val="18"/>
              </w:rPr>
              <w:t>WebGL2</w:t>
            </w:r>
          </w:p>
        </w:tc>
        <w:tc>
          <w:tcPr>
            <w:tcW w:type="dxa" w:w="3312"/>
            <w:shd w:val="clear" w:color="auto" w:fill="FFFFFF"/>
          </w:tcPr>
          <w:p>
            <w:r>
              <w:rPr>
                <w:sz w:val="18"/>
              </w:rPr>
              <w:t>All renderers, ONNX WebGL EP</w:t>
            </w:r>
          </w:p>
        </w:tc>
        <w:tc>
          <w:tcPr>
            <w:tcW w:type="dxa" w:w="1872"/>
            <w:shd w:val="clear" w:color="auto" w:fill="FFFFFF"/>
          </w:tcPr>
          <w:p>
            <w:r>
              <w:rPr>
                <w:sz w:val="18"/>
              </w:rPr>
              <w:t>99%+</w:t>
            </w:r>
          </w:p>
        </w:tc>
        <w:tc>
          <w:tcPr>
            <w:tcW w:type="dxa" w:w="3312"/>
            <w:shd w:val="clear" w:color="auto" w:fill="FFFFFF"/>
          </w:tcPr>
          <w:p>
            <w:r>
              <w:rPr>
                <w:sz w:val="18"/>
              </w:rPr>
              <w:t>Required — no fallback</w:t>
            </w:r>
          </w:p>
        </w:tc>
      </w:tr>
      <w:tr>
        <w:tc>
          <w:tcPr>
            <w:tcW w:type="dxa" w:w="2304"/>
            <w:shd w:val="clear" w:color="auto" w:fill="F1F5F9"/>
          </w:tcPr>
          <w:p>
            <w:r>
              <w:rPr>
                <w:sz w:val="18"/>
              </w:rPr>
              <w:t>WebAssembly</w:t>
            </w:r>
          </w:p>
        </w:tc>
        <w:tc>
          <w:tcPr>
            <w:tcW w:type="dxa" w:w="3312"/>
            <w:shd w:val="clear" w:color="auto" w:fill="F1F5F9"/>
          </w:tcPr>
          <w:p>
            <w:r>
              <w:rPr>
                <w:sz w:val="18"/>
              </w:rPr>
              <w:t>Vina, RDKit.js, OpenBabel</w:t>
            </w:r>
          </w:p>
        </w:tc>
        <w:tc>
          <w:tcPr>
            <w:tcW w:type="dxa" w:w="1872"/>
            <w:shd w:val="clear" w:color="auto" w:fill="F1F5F9"/>
          </w:tcPr>
          <w:p>
            <w:r>
              <w:rPr>
                <w:sz w:val="18"/>
              </w:rPr>
              <w:t>99%+</w:t>
            </w:r>
          </w:p>
        </w:tc>
        <w:tc>
          <w:tcPr>
            <w:tcW w:type="dxa" w:w="3312"/>
            <w:shd w:val="clear" w:color="auto" w:fill="F1F5F9"/>
          </w:tcPr>
          <w:p>
            <w:r>
              <w:rPr>
                <w:sz w:val="18"/>
              </w:rPr>
              <w:t>All modern browsers</w:t>
            </w:r>
          </w:p>
        </w:tc>
      </w:tr>
      <w:tr>
        <w:tc>
          <w:tcPr>
            <w:tcW w:type="dxa" w:w="2304"/>
            <w:shd w:val="clear" w:color="auto" w:fill="FFFFFF"/>
          </w:tcPr>
          <w:p>
            <w:r>
              <w:rPr>
                <w:sz w:val="18"/>
              </w:rPr>
              <w:t>SharedArrayBuffer</w:t>
            </w:r>
          </w:p>
        </w:tc>
        <w:tc>
          <w:tcPr>
            <w:tcW w:type="dxa" w:w="3312"/>
            <w:shd w:val="clear" w:color="auto" w:fill="FFFFFF"/>
          </w:tcPr>
          <w:p>
            <w:r>
              <w:rPr>
                <w:sz w:val="18"/>
              </w:rPr>
              <w:t>ONNX zero-copy, WASM memory</w:t>
            </w:r>
          </w:p>
        </w:tc>
        <w:tc>
          <w:tcPr>
            <w:tcW w:type="dxa" w:w="1872"/>
            <w:shd w:val="clear" w:color="auto" w:fill="FFFFFF"/>
          </w:tcPr>
          <w:p>
            <w:r>
              <w:rPr>
                <w:sz w:val="18"/>
              </w:rPr>
              <w:t>90%+</w:t>
            </w:r>
          </w:p>
        </w:tc>
        <w:tc>
          <w:tcPr>
            <w:tcW w:type="dxa" w:w="3312"/>
            <w:shd w:val="clear" w:color="auto" w:fill="FFFFFF"/>
          </w:tcPr>
          <w:p>
            <w:r>
              <w:rPr>
                <w:sz w:val="18"/>
              </w:rPr>
              <w:t>COOP/COEP headers required</w:t>
            </w:r>
          </w:p>
        </w:tc>
      </w:tr>
      <w:tr>
        <w:tc>
          <w:tcPr>
            <w:tcW w:type="dxa" w:w="2304"/>
            <w:shd w:val="clear" w:color="auto" w:fill="F1F5F9"/>
          </w:tcPr>
          <w:p>
            <w:r>
              <w:rPr>
                <w:sz w:val="18"/>
              </w:rPr>
              <w:t>File System Access</w:t>
            </w:r>
          </w:p>
        </w:tc>
        <w:tc>
          <w:tcPr>
            <w:tcW w:type="dxa" w:w="3312"/>
            <w:shd w:val="clear" w:color="auto" w:fill="F1F5F9"/>
          </w:tcPr>
          <w:p>
            <w:r>
              <w:rPr>
                <w:sz w:val="18"/>
              </w:rPr>
              <w:t>Local BAM/VCF/TIFF</w:t>
            </w:r>
          </w:p>
        </w:tc>
        <w:tc>
          <w:tcPr>
            <w:tcW w:type="dxa" w:w="1872"/>
            <w:shd w:val="clear" w:color="auto" w:fill="F1F5F9"/>
          </w:tcPr>
          <w:p>
            <w:r>
              <w:rPr>
                <w:sz w:val="18"/>
              </w:rPr>
              <w:t>~85%</w:t>
            </w:r>
          </w:p>
        </w:tc>
        <w:tc>
          <w:tcPr>
            <w:tcW w:type="dxa" w:w="3312"/>
            <w:shd w:val="clear" w:color="auto" w:fill="F1F5F9"/>
          </w:tcPr>
          <w:p>
            <w:r>
              <w:rPr>
                <w:sz w:val="18"/>
              </w:rPr>
              <w:t>Firefox uses fallback</w:t>
            </w:r>
          </w:p>
        </w:tc>
      </w:tr>
      <w:tr>
        <w:tc>
          <w:tcPr>
            <w:tcW w:type="dxa" w:w="2304"/>
            <w:shd w:val="clear" w:color="auto" w:fill="FFFFFF"/>
          </w:tcPr>
          <w:p>
            <w:r>
              <w:rPr>
                <w:sz w:val="18"/>
              </w:rPr>
              <w:t>IndexedDB</w:t>
            </w:r>
          </w:p>
        </w:tc>
        <w:tc>
          <w:tcPr>
            <w:tcW w:type="dxa" w:w="3312"/>
            <w:shd w:val="clear" w:color="auto" w:fill="FFFFFF"/>
          </w:tcPr>
          <w:p>
            <w:r>
              <w:rPr>
                <w:sz w:val="18"/>
              </w:rPr>
              <w:t>ONNX model caching (600MB)</w:t>
            </w:r>
          </w:p>
        </w:tc>
        <w:tc>
          <w:tcPr>
            <w:tcW w:type="dxa" w:w="1872"/>
            <w:shd w:val="clear" w:color="auto" w:fill="FFFFFF"/>
          </w:tcPr>
          <w:p>
            <w:r>
              <w:rPr>
                <w:sz w:val="18"/>
              </w:rPr>
              <w:t>99%+</w:t>
            </w:r>
          </w:p>
        </w:tc>
        <w:tc>
          <w:tcPr>
            <w:tcW w:type="dxa" w:w="3312"/>
            <w:shd w:val="clear" w:color="auto" w:fill="FFFFFF"/>
          </w:tcPr>
          <w:p>
            <w:r>
              <w:rPr>
                <w:sz w:val="18"/>
              </w:rPr>
              <w:t>Check quota availability</w:t>
            </w:r>
          </w:p>
        </w:tc>
      </w:tr>
    </w:tbl>
    <w:p/>
    <w:p/>
    <w:tbl>
      <w:tblPr>
        <w:tblStyle w:val="TableGrid"/>
        <w:tblW w:type="auto" w:w="0"/>
        <w:jc w:val="left"/>
        <w:tblLook w:firstColumn="1" w:firstRow="1" w:lastColumn="0" w:lastRow="0" w:noHBand="0" w:noVBand="1" w:val="04A0"/>
      </w:tblPr>
      <w:tblGrid>
        <w:gridCol w:w="9406"/>
      </w:tblGrid>
      <w:tr>
        <w:tc>
          <w:tcPr>
            <w:tcW w:type="dxa" w:w="9360"/>
            <w:shd w:val="clear" w:color="auto" w:fill="1a1a2e"/>
          </w:tcPr>
          <w:p>
            <w:r>
              <w:rPr>
                <w:b/>
                <w:color w:val="FFFFFF"/>
                <w:sz w:val="18"/>
              </w:rPr>
              <w:t>📎 Final Note to Researchers</w:t>
            </w:r>
          </w:p>
        </w:tc>
      </w:tr>
      <w:tr>
        <w:tc>
          <w:tcPr>
            <w:tcW w:type="dxa" w:w="9406"/>
            <w:shd w:val="clear" w:color="auto" w:fill="F8FAFC"/>
          </w:tcPr>
          <w:p>
            <w:pPr>
              <w:spacing w:before="80" w:after="80"/>
            </w:pPr>
            <w:r>
              <w:rPr>
                <w:sz w:val="20"/>
              </w:rPr>
              <w:t>This report is a living document. The tools analyzed represent the state of the field as of May 2026. Several projects (AlphaFold 3, ESMFold 2, Cellpose 3) are actively evolving. We recommend reviewing this assessment whenever a major model or library update is released. The architectural principles — instanced rendering, WASM compute, ONNX inference, plugin systems, state serialization — are stable and will remain the foundation of browser-native scientific computing for the foreseeable future.</w:t>
              <w:br/>
              <w:br/>
              <w:t>Q-onco Platform · quant.onco@gmail.com · May 2026</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