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18" w:name="content"/>
    <w:bookmarkStart w:id="17" w:name="fraud-busters-frontend-architecture"/>
    <w:p>
      <w:pPr>
        <w:pStyle w:val="Heading1"/>
      </w:pPr>
      <w:r>
        <w:t xml:space="preserve">Fraud Busters Frontend Architecture</w:t>
      </w:r>
    </w:p>
    <w:p>
      <w:pPr>
        <w:pStyle w:val="FirstParagraph"/>
      </w:pPr>
      <w:r>
        <w:t xml:space="preserve">The</w:t>
      </w:r>
      <w:r>
        <w:t xml:space="preserve"> </w:t>
      </w:r>
      <w:r>
        <w:rPr>
          <w:b/>
          <w:bCs/>
        </w:rPr>
        <w:t xml:space="preserve">Fraud Busters</w:t>
      </w:r>
      <w:r>
        <w:t xml:space="preserve"> </w:t>
      </w:r>
      <w:r>
        <w:t xml:space="preserve">frontend is a web-based dashboard for real-time monitoring and investigation of mobile-money fraud in East Africa. It ingests live transaction data and quantum-model outputs to highlight anomalies, enabling analysts to act immediately. The UI focuses on clarity and responsiveness, presenting key metrics, alerts, and drill-down tools for fraudulent transactions detected by our quantum-enhanced model. Real-world context suggests that East African financial institutions increasingly rely on live ML-driven monitoring: for example, Kenyan banks now use real-time analytics to detect suspicious patterns instead of static rules【36†L290-L299】. Our design reflects this need by emphasizing instant visibility and investigative workflows.</w:t>
      </w:r>
    </w:p>
    <w:bookmarkStart w:id="10" w:name="requirements-use-cases"/>
    <w:p>
      <w:pPr>
        <w:pStyle w:val="Heading2"/>
      </w:pPr>
      <w:r>
        <w:t xml:space="preserve">Requirements &amp; Use Cases</w:t>
      </w:r>
    </w:p>
    <w:p>
      <w:pPr>
        <w:pStyle w:val="Compact"/>
        <w:numPr>
          <w:ilvl w:val="0"/>
          <w:numId w:val="1001"/>
        </w:numPr>
      </w:pPr>
      <w:r>
        <w:rPr>
          <w:b/>
          <w:bCs/>
        </w:rPr>
        <w:t xml:space="preserve">Real-time Transaction Monitoring:</w:t>
      </w:r>
      <w:r>
        <w:t xml:space="preserve"> </w:t>
      </w:r>
      <w:r>
        <w:t xml:space="preserve">Display an ongoing stream of M-Pesa (or mobile-money) transactions, automatically flagging those with high fraud risk scores. For instance, Microsoft’s fraud-analytics reference architecture emphasizes live dashboards that track high-risk transactions and enable immediate investigation【17†L224-L232】【36†L334-L343】.</w:t>
      </w:r>
    </w:p>
    <w:p>
      <w:pPr>
        <w:pStyle w:val="Compact"/>
        <w:numPr>
          <w:ilvl w:val="0"/>
          <w:numId w:val="1001"/>
        </w:numPr>
      </w:pPr>
      <w:r>
        <w:rPr>
          <w:b/>
          <w:bCs/>
        </w:rPr>
        <w:t xml:space="preserve">Summary Metrics:</w:t>
      </w:r>
      <w:r>
        <w:t xml:space="preserve"> </w:t>
      </w:r>
      <w:r>
        <w:t xml:space="preserve">Show aggregated KPIs – e.g. total transactions per period, fraud rate (% flagged), average transaction size – in dynamic “cards” or tiles that update with new data【40†L84-L92】.</w:t>
      </w:r>
    </w:p>
    <w:p>
      <w:pPr>
        <w:pStyle w:val="Compact"/>
        <w:numPr>
          <w:ilvl w:val="0"/>
          <w:numId w:val="1001"/>
        </w:numPr>
      </w:pPr>
      <w:r>
        <w:rPr>
          <w:b/>
          <w:bCs/>
        </w:rPr>
        <w:t xml:space="preserve">Geographical &amp; Segment Views:</w:t>
      </w:r>
      <w:r>
        <w:t xml:space="preserve"> </w:t>
      </w:r>
      <w:r>
        <w:t xml:space="preserve">Include region-wise analytics (heatmap or choropleth of transaction/fraud volume) and filtering by customer segment, agent network, or channel (mobile, ATM, etc.)【17†L224-L232】【40†L91-L99】.</w:t>
      </w:r>
    </w:p>
    <w:p>
      <w:pPr>
        <w:pStyle w:val="Compact"/>
        <w:numPr>
          <w:ilvl w:val="0"/>
          <w:numId w:val="1001"/>
        </w:numPr>
      </w:pPr>
      <w:r>
        <w:rPr>
          <w:b/>
          <w:bCs/>
        </w:rPr>
        <w:t xml:space="preserve">Transaction Explorer:</w:t>
      </w:r>
      <w:r>
        <w:t xml:space="preserve"> </w:t>
      </w:r>
      <w:r>
        <w:t xml:space="preserve">Provide a searchable table or list of individual transactions with details (ID, sender/receiver, time, amount, type, balance) and the quantum model’s fraud score/probability. The user can sort/filter by any field.</w:t>
      </w:r>
    </w:p>
    <w:p>
      <w:pPr>
        <w:pStyle w:val="Compact"/>
        <w:numPr>
          <w:ilvl w:val="0"/>
          <w:numId w:val="1001"/>
        </w:numPr>
      </w:pPr>
      <w:r>
        <w:rPr>
          <w:b/>
          <w:bCs/>
        </w:rPr>
        <w:t xml:space="preserve">Alerts &amp; Notifications:</w:t>
      </w:r>
      <w:r>
        <w:t xml:space="preserve"> </w:t>
      </w:r>
      <w:r>
        <w:t xml:space="preserve">Instantly notify users when risk thresholds are crossed (e.g. alert panel, email or push notice). The UI must show new suspicious items prominently. (Institutions use rule engines and alerts to trigger immediate action on anomalies【36†L334-L343】.)</w:t>
      </w:r>
    </w:p>
    <w:p>
      <w:pPr>
        <w:pStyle w:val="Compact"/>
        <w:numPr>
          <w:ilvl w:val="0"/>
          <w:numId w:val="1001"/>
        </w:numPr>
      </w:pPr>
      <w:r>
        <w:rPr>
          <w:b/>
          <w:bCs/>
        </w:rPr>
        <w:t xml:space="preserve">Detail &amp; Case Management:</w:t>
      </w:r>
      <w:r>
        <w:t xml:space="preserve"> </w:t>
      </w:r>
      <w:r>
        <w:t xml:space="preserve">On selecting a flagged transaction, show full details (history, account info, geo, risk factors) and allow actions (e.g. mark as confirmed fraud, initiate review). Multi-class risk scores (e.g. levels 1–5) should be clearly displayed【34†L228-L236】.</w:t>
      </w:r>
    </w:p>
    <w:p>
      <w:pPr>
        <w:pStyle w:val="Compact"/>
        <w:numPr>
          <w:ilvl w:val="0"/>
          <w:numId w:val="1001"/>
        </w:numPr>
      </w:pPr>
      <w:r>
        <w:rPr>
          <w:b/>
          <w:bCs/>
        </w:rPr>
        <w:t xml:space="preserve">User Roles &amp; Security:</w:t>
      </w:r>
      <w:r>
        <w:t xml:space="preserve"> </w:t>
      </w:r>
      <w:r>
        <w:t xml:space="preserve">Implement role-based access (analyst, supervisor, admin) so features and data are permission-controlled【32†L202-L211】. Authentication (e.g. OAuth/JWT) must secure the UI. Sensitive PII should be masked or omitted.</w:t>
      </w:r>
    </w:p>
    <w:p>
      <w:pPr>
        <w:pStyle w:val="Compact"/>
        <w:numPr>
          <w:ilvl w:val="0"/>
          <w:numId w:val="1001"/>
        </w:numPr>
      </w:pPr>
      <w:r>
        <w:rPr>
          <w:b/>
          <w:bCs/>
        </w:rPr>
        <w:t xml:space="preserve">Mobile &amp; Accessibility:</w:t>
      </w:r>
      <w:r>
        <w:t xml:space="preserve"> </w:t>
      </w:r>
      <w:r>
        <w:t xml:space="preserve">Although primarily a desktop app, ensure responsive design for tablets. Follow inclusive design (clear fonts, high contrast, possibly Swahili/English support) to suit East African users, including those with limited digital literacy【28†L680-L687】.</w:t>
      </w:r>
    </w:p>
    <w:bookmarkEnd w:id="10"/>
    <w:bookmarkStart w:id="11" w:name="system-architecture-stack"/>
    <w:p>
      <w:pPr>
        <w:pStyle w:val="Heading2"/>
      </w:pPr>
      <w:r>
        <w:t xml:space="preserve">System Architecture &amp; Stack</w:t>
      </w:r>
    </w:p>
    <w:p>
      <w:pPr>
        <w:pStyle w:val="Compact"/>
        <w:numPr>
          <w:ilvl w:val="0"/>
          <w:numId w:val="1002"/>
        </w:numPr>
      </w:pPr>
      <w:r>
        <w:rPr>
          <w:b/>
          <w:bCs/>
        </w:rPr>
        <w:t xml:space="preserve">Front-End Framework:</w:t>
      </w:r>
      <w:r>
        <w:t xml:space="preserve"> </w:t>
      </w:r>
      <w:r>
        <w:t xml:space="preserve">Build a Single-Page Application using a modern JS framework (e.g.</w:t>
      </w:r>
      <w:r>
        <w:t xml:space="preserve"> </w:t>
      </w:r>
      <w:r>
        <w:rPr>
          <w:b/>
          <w:bCs/>
        </w:rPr>
        <w:t xml:space="preserve">React.js</w:t>
      </w:r>
      <w:r>
        <w:t xml:space="preserve"> </w:t>
      </w:r>
      <w:r>
        <w:t xml:space="preserve">or Angular or Vue) as recommended for fintech web UIs【30†L763-L770】. React is a good choice for modular components and state management.</w:t>
      </w:r>
    </w:p>
    <w:p>
      <w:pPr>
        <w:pStyle w:val="Compact"/>
        <w:numPr>
          <w:ilvl w:val="0"/>
          <w:numId w:val="1002"/>
        </w:numPr>
      </w:pPr>
      <w:r>
        <w:rPr>
          <w:b/>
          <w:bCs/>
        </w:rPr>
        <w:t xml:space="preserve">UI Components &amp; Libraries:</w:t>
      </w:r>
      <w:r>
        <w:t xml:space="preserve"> </w:t>
      </w:r>
      <w:r>
        <w:t xml:space="preserve">Use a component library (e.g. Material-UI, Ant Design or Chakra-UI) for consistent styling. Visualizations can use charting libraries (Chart.js, D3.js, or Plotly). For maps, integrate Leaflet or Google Maps to plot geo-data. An open-source AI fraud project, for example, uses React with Chart.js for dynamic charts【32†L208-L216】.</w:t>
      </w:r>
    </w:p>
    <w:p>
      <w:pPr>
        <w:pStyle w:val="Compact"/>
        <w:numPr>
          <w:ilvl w:val="0"/>
          <w:numId w:val="1002"/>
        </w:numPr>
      </w:pPr>
      <w:r>
        <w:rPr>
          <w:b/>
          <w:bCs/>
        </w:rPr>
        <w:t xml:space="preserve">Real-Time Data:</w:t>
      </w:r>
      <w:r>
        <w:t xml:space="preserve"> </w:t>
      </w:r>
      <w:r>
        <w:t xml:space="preserve">Connect via WebSockets (e.g. Socket.IO) or Firebase/Realtime DB for live updates【30†L769-L771】. This keeps transaction feeds and alerts in sync without manual refresh. The Microsoft fraud architecture similarly advocates real-time event ingestion for instant scoring【17†L188-L197】【30†L769-L771】.</w:t>
      </w:r>
    </w:p>
    <w:p>
      <w:pPr>
        <w:pStyle w:val="Compact"/>
        <w:numPr>
          <w:ilvl w:val="0"/>
          <w:numId w:val="1002"/>
        </w:numPr>
      </w:pPr>
      <w:r>
        <w:rPr>
          <w:b/>
          <w:bCs/>
        </w:rPr>
        <w:t xml:space="preserve">APIs &amp; Data Flow:</w:t>
      </w:r>
      <w:r>
        <w:t xml:space="preserve"> </w:t>
      </w:r>
      <w:r>
        <w:t xml:space="preserve">The frontend will call backend APIs (REST or GraphQL) to fetch historical data and push user actions. The quantum fraud model runs server-side (e.g. on IBM/Azure QPU or simulators). It returns each transaction’s</w:t>
      </w:r>
      <w:r>
        <w:t xml:space="preserve"> </w:t>
      </w:r>
      <w:r>
        <w:rPr>
          <w:b/>
          <w:bCs/>
        </w:rPr>
        <w:t xml:space="preserve">fraud risk score</w:t>
      </w:r>
      <w:r>
        <w:t xml:space="preserve"> </w:t>
      </w:r>
      <w:r>
        <w:t xml:space="preserve">(probability or class), which the frontend displays. According to design guidance, each transaction should carry this risk score for UI display and sorting【17†L188-L197】【34†L228-L236】.</w:t>
      </w:r>
    </w:p>
    <w:p>
      <w:pPr>
        <w:pStyle w:val="Compact"/>
        <w:numPr>
          <w:ilvl w:val="0"/>
          <w:numId w:val="1002"/>
        </w:numPr>
      </w:pPr>
      <w:r>
        <w:rPr>
          <w:b/>
          <w:bCs/>
        </w:rPr>
        <w:t xml:space="preserve">State Management:</w:t>
      </w:r>
      <w:r>
        <w:t xml:space="preserve"> </w:t>
      </w:r>
      <w:r>
        <w:t xml:space="preserve">Use Redux or Context for application state (user session, filters, data caches). Keep the UI snappy by caching recent query results and updating only deltas from new data.</w:t>
      </w:r>
    </w:p>
    <w:p>
      <w:pPr>
        <w:pStyle w:val="Compact"/>
        <w:numPr>
          <w:ilvl w:val="0"/>
          <w:numId w:val="1002"/>
        </w:numPr>
      </w:pPr>
      <w:r>
        <w:rPr>
          <w:b/>
          <w:bCs/>
        </w:rPr>
        <w:t xml:space="preserve">Security &amp; Compliance:</w:t>
      </w:r>
      <w:r>
        <w:t xml:space="preserve"> </w:t>
      </w:r>
      <w:r>
        <w:t xml:space="preserve">Enforce HTTPS/TLS. Use JWT tokens for session management (as many fintech guides advise【30†L769-L771】). Ensure all forms and APIs adhere to KYC/AML constraints.</w:t>
      </w:r>
    </w:p>
    <w:p>
      <w:pPr>
        <w:pStyle w:val="Compact"/>
        <w:numPr>
          <w:ilvl w:val="0"/>
          <w:numId w:val="1002"/>
        </w:numPr>
      </w:pPr>
      <w:r>
        <w:rPr>
          <w:b/>
          <w:bCs/>
        </w:rPr>
        <w:t xml:space="preserve">Infrastructure:</w:t>
      </w:r>
      <w:r>
        <w:t xml:space="preserve"> </w:t>
      </w:r>
      <w:r>
        <w:t xml:space="preserve">Host on scalable cloud (AWS/Azure/GCP【30†L774-L778】) using containers (Docker/Kubernetes) for reliability. CI/CD pipelines will automate builds and deploys. Logging and monitoring (Prometheus/ELK) ensure performance and uptime.</w:t>
      </w:r>
    </w:p>
    <w:bookmarkEnd w:id="11"/>
    <w:bookmarkStart w:id="12" w:name="key-ui-components-and-layout"/>
    <w:p>
      <w:pPr>
        <w:pStyle w:val="Heading2"/>
      </w:pPr>
      <w:r>
        <w:t xml:space="preserve">Key UI Components and Layout</w:t>
      </w:r>
    </w:p>
    <w:p>
      <w:pPr>
        <w:pStyle w:val="FirstParagraph"/>
      </w:pPr>
      <w:r>
        <w:t xml:space="preserve">【8†embed_image】</w:t>
      </w:r>
      <w:r>
        <w:t xml:space="preserve"> </w:t>
      </w:r>
      <w:r>
        <w:rPr>
          <w:i/>
          <w:iCs/>
        </w:rPr>
        <w:t xml:space="preserve">Example dashboard layout with summary cards, alerts, trend charts, and a geospatial map.</w:t>
      </w:r>
      <w:r>
        <w:t xml:space="preserve"> </w:t>
      </w:r>
      <w:r>
        <w:t xml:space="preserve">The Fraud Busters main dashboard combines high-level indicators with detailed analytics in one view. Key UI components include:</w:t>
      </w:r>
    </w:p>
    <w:p>
      <w:pPr>
        <w:pStyle w:val="Compact"/>
        <w:numPr>
          <w:ilvl w:val="0"/>
          <w:numId w:val="1003"/>
        </w:numPr>
      </w:pPr>
      <w:r>
        <w:rPr>
          <w:b/>
          <w:bCs/>
        </w:rPr>
        <w:t xml:space="preserve">Summary Cards:</w:t>
      </w:r>
      <w:r>
        <w:t xml:space="preserve"> </w:t>
      </w:r>
      <w:r>
        <w:t xml:space="preserve">Top-of-screen cards (tiles) showing</w:t>
      </w:r>
      <w:r>
        <w:t xml:space="preserve"> </w:t>
      </w:r>
      <w:r>
        <w:rPr>
          <w:b/>
          <w:bCs/>
        </w:rPr>
        <w:t xml:space="preserve">Total Transactions</w:t>
      </w:r>
      <w:r>
        <w:t xml:space="preserve">,</w:t>
      </w:r>
      <w:r>
        <w:t xml:space="preserve"> </w:t>
      </w:r>
      <w:r>
        <w:rPr>
          <w:b/>
          <w:bCs/>
        </w:rPr>
        <w:t xml:space="preserve">Flagged Fraud (%)</w:t>
      </w:r>
      <w:r>
        <w:t xml:space="preserve">,</w:t>
      </w:r>
      <w:r>
        <w:t xml:space="preserve"> </w:t>
      </w:r>
      <w:r>
        <w:rPr>
          <w:b/>
          <w:bCs/>
        </w:rPr>
        <w:t xml:space="preserve">Today’s Losses</w:t>
      </w:r>
      <w:r>
        <w:t xml:space="preserve">, etc. These update in real time (e.g. number of flagged cases by region and date【40†L84-L92】).</w:t>
      </w:r>
    </w:p>
    <w:p>
      <w:pPr>
        <w:pStyle w:val="Compact"/>
        <w:numPr>
          <w:ilvl w:val="0"/>
          <w:numId w:val="1003"/>
        </w:numPr>
      </w:pPr>
      <w:r>
        <w:rPr>
          <w:b/>
          <w:bCs/>
        </w:rPr>
        <w:t xml:space="preserve">Trend Charts:</w:t>
      </w:r>
      <w:r>
        <w:t xml:space="preserve"> </w:t>
      </w:r>
      <w:r>
        <w:t xml:space="preserve">Time-series graphs (line/bar charts) showing transaction volume and fraud count over selectable intervals (daily/weekly/monthly). Analysts can quickly spot spikes or patterns.</w:t>
      </w:r>
    </w:p>
    <w:p>
      <w:pPr>
        <w:pStyle w:val="Compact"/>
        <w:numPr>
          <w:ilvl w:val="0"/>
          <w:numId w:val="1003"/>
        </w:numPr>
      </w:pPr>
      <w:r>
        <w:rPr>
          <w:b/>
          <w:bCs/>
        </w:rPr>
        <w:t xml:space="preserve">Geospatial Map:</w:t>
      </w:r>
      <w:r>
        <w:t xml:space="preserve"> </w:t>
      </w:r>
      <w:r>
        <w:t xml:space="preserve">An interactive map highlighting transaction or fraud density by region or county【40†L91-L99】. Heatmaps or markers expose geographic fraud hotspots at a glance.</w:t>
      </w:r>
    </w:p>
    <w:p>
      <w:pPr>
        <w:pStyle w:val="Compact"/>
        <w:numPr>
          <w:ilvl w:val="0"/>
          <w:numId w:val="1003"/>
        </w:numPr>
      </w:pPr>
      <w:r>
        <w:rPr>
          <w:b/>
          <w:bCs/>
        </w:rPr>
        <w:t xml:space="preserve">Alerts Panel:</w:t>
      </w:r>
      <w:r>
        <w:t xml:space="preserve"> </w:t>
      </w:r>
      <w:r>
        <w:t xml:space="preserve">A sidebar or modal listing</w:t>
      </w:r>
      <w:r>
        <w:t xml:space="preserve"> </w:t>
      </w:r>
      <w:r>
        <w:rPr>
          <w:b/>
          <w:bCs/>
        </w:rPr>
        <w:t xml:space="preserve">recent suspicious transactions</w:t>
      </w:r>
      <w:r>
        <w:t xml:space="preserve"> </w:t>
      </w:r>
      <w:r>
        <w:t xml:space="preserve">(timestamp, origin, amount, risk score) as they occur. New entries appear at top with a pop-up or sound. This mimics a rule-based alert stream【36†L334-L343】.</w:t>
      </w:r>
    </w:p>
    <w:p>
      <w:pPr>
        <w:pStyle w:val="Compact"/>
        <w:numPr>
          <w:ilvl w:val="0"/>
          <w:numId w:val="1003"/>
        </w:numPr>
      </w:pPr>
      <w:r>
        <w:rPr>
          <w:b/>
          <w:bCs/>
        </w:rPr>
        <w:t xml:space="preserve">Transaction Table:</w:t>
      </w:r>
      <w:r>
        <w:t xml:space="preserve"> </w:t>
      </w:r>
      <w:r>
        <w:t xml:space="preserve">A searchable/filterable data table of all transactions. Columns include sender, receiver, amount, balances, type, and</w:t>
      </w:r>
      <w:r>
        <w:t xml:space="preserve"> </w:t>
      </w:r>
      <w:r>
        <w:rPr>
          <w:b/>
          <w:bCs/>
        </w:rPr>
        <w:t xml:space="preserve">Fraud Score</w:t>
      </w:r>
      <w:r>
        <w:t xml:space="preserve">. Users can filter by date, user ID, or risk level. This supports drill-down from summary charts to individual records.</w:t>
      </w:r>
    </w:p>
    <w:p>
      <w:pPr>
        <w:pStyle w:val="Compact"/>
        <w:numPr>
          <w:ilvl w:val="0"/>
          <w:numId w:val="1003"/>
        </w:numPr>
      </w:pPr>
      <w:r>
        <w:rPr>
          <w:b/>
          <w:bCs/>
        </w:rPr>
        <w:t xml:space="preserve">Navigation &amp; Controls:</w:t>
      </w:r>
      <w:r>
        <w:t xml:space="preserve"> </w:t>
      </w:r>
      <w:r>
        <w:t xml:space="preserve">A side or top menu to navigate between views (Dashboard, Transactions, Alerts, Reports, Settings). Filters (date pickers, region selectors) let users refine the data shown.</w:t>
      </w:r>
    </w:p>
    <w:p>
      <w:pPr>
        <w:pStyle w:val="Compact"/>
        <w:numPr>
          <w:ilvl w:val="0"/>
          <w:numId w:val="1003"/>
        </w:numPr>
      </w:pPr>
      <w:r>
        <w:rPr>
          <w:b/>
          <w:bCs/>
        </w:rPr>
        <w:t xml:space="preserve">Footer/Indicators:</w:t>
      </w:r>
      <w:r>
        <w:t xml:space="preserve"> </w:t>
      </w:r>
      <w:r>
        <w:t xml:space="preserve">Status bar showing data refresh time or connection status to the data stream.</w:t>
      </w:r>
    </w:p>
    <w:p>
      <w:pPr>
        <w:pStyle w:val="FirstParagraph"/>
      </w:pPr>
      <w:r>
        <w:t xml:space="preserve">These components follow best practices: for example, dynamic “data cards” and drill-down filters are hallmarks of analytic dashboards【40†L84-L92】【40†L119-L125】. We design the layout for scanability, using whitespace and grouping to avoid clutter.</w:t>
      </w:r>
    </w:p>
    <w:bookmarkEnd w:id="12"/>
    <w:bookmarkStart w:id="13" w:name="data-integration-visualizations"/>
    <w:p>
      <w:pPr>
        <w:pStyle w:val="Heading2"/>
      </w:pPr>
      <w:r>
        <w:t xml:space="preserve">Data Integration &amp; Visualizations</w:t>
      </w:r>
    </w:p>
    <w:p>
      <w:pPr>
        <w:pStyle w:val="FirstParagraph"/>
      </w:pPr>
      <w:r>
        <w:t xml:space="preserve">【12†embed_image】</w:t>
      </w:r>
      <w:r>
        <w:t xml:space="preserve"> </w:t>
      </w:r>
      <w:r>
        <w:rPr>
          <w:i/>
          <w:iCs/>
        </w:rPr>
        <w:t xml:space="preserve">Illustrative risk overview screen with high-level metrics and breakdown charts.</w:t>
      </w:r>
      <w:r>
        <w:t xml:space="preserve"> </w:t>
      </w:r>
      <w:r>
        <w:t xml:space="preserve">In Fraud Busters, a dedicated</w:t>
      </w:r>
      <w:r>
        <w:t xml:space="preserve"> </w:t>
      </w:r>
      <w:r>
        <w:rPr>
          <w:b/>
          <w:bCs/>
        </w:rPr>
        <w:t xml:space="preserve">Risk Overview</w:t>
      </w:r>
      <w:r>
        <w:t xml:space="preserve"> </w:t>
      </w:r>
      <w:r>
        <w:t xml:space="preserve">panel will visualize the quantum model’s outputs alongside raw data. We plan the following elements:</w:t>
      </w:r>
    </w:p>
    <w:p>
      <w:pPr>
        <w:pStyle w:val="Compact"/>
        <w:numPr>
          <w:ilvl w:val="0"/>
          <w:numId w:val="1004"/>
        </w:numPr>
      </w:pPr>
      <w:r>
        <w:rPr>
          <w:b/>
          <w:bCs/>
        </w:rPr>
        <w:t xml:space="preserve">Risk Score Summary:</w:t>
      </w:r>
      <w:r>
        <w:t xml:space="preserve"> </w:t>
      </w:r>
      <w:r>
        <w:t xml:space="preserve">Display the overall fraud probability or score. For a binary model it could be a percentage; for multiclass (like Quantum Sentinel’s 1–5 risk level【34†L228-L236】), use color-coded risk badges. E.g. “Overall Fraud Risk: 3/5 (Medium)” or a gauge meter.</w:t>
      </w:r>
    </w:p>
    <w:p>
      <w:pPr>
        <w:pStyle w:val="Compact"/>
        <w:numPr>
          <w:ilvl w:val="0"/>
          <w:numId w:val="1004"/>
        </w:numPr>
      </w:pPr>
      <w:r>
        <w:rPr>
          <w:b/>
          <w:bCs/>
        </w:rPr>
        <w:t xml:space="preserve">Top Contributors Chart:</w:t>
      </w:r>
      <w:r>
        <w:t xml:space="preserve"> </w:t>
      </w:r>
      <w:r>
        <w:t xml:space="preserve">A bar or pie chart showing which users, accounts, or transaction types contribute most to fraud. (This mirrors the “Top Contributors” concept in example designs【12†】.)</w:t>
      </w:r>
    </w:p>
    <w:p>
      <w:pPr>
        <w:pStyle w:val="Compact"/>
        <w:numPr>
          <w:ilvl w:val="0"/>
          <w:numId w:val="1004"/>
        </w:numPr>
      </w:pPr>
      <w:r>
        <w:rPr>
          <w:b/>
          <w:bCs/>
        </w:rPr>
        <w:t xml:space="preserve">Temporal Breakdown:</w:t>
      </w:r>
      <w:r>
        <w:t xml:space="preserve"> </w:t>
      </w:r>
      <w:r>
        <w:t xml:space="preserve">Histograms of the number of transactions by fraud score ranges or a timeline of risk counts.</w:t>
      </w:r>
    </w:p>
    <w:p>
      <w:pPr>
        <w:pStyle w:val="Compact"/>
        <w:numPr>
          <w:ilvl w:val="0"/>
          <w:numId w:val="1004"/>
        </w:numPr>
      </w:pPr>
      <w:r>
        <w:rPr>
          <w:b/>
          <w:bCs/>
        </w:rPr>
        <w:t xml:space="preserve">Feature Importance / Anomalies:</w:t>
      </w:r>
      <w:r>
        <w:t xml:space="preserve"> </w:t>
      </w:r>
      <w:r>
        <w:t xml:space="preserve">If available, visualize which features influenced the quantum model’s decision (e.g. transaction amount, unusual location).</w:t>
      </w:r>
    </w:p>
    <w:p>
      <w:pPr>
        <w:pStyle w:val="Compact"/>
        <w:numPr>
          <w:ilvl w:val="0"/>
          <w:numId w:val="1004"/>
        </w:numPr>
      </w:pPr>
      <w:r>
        <w:rPr>
          <w:b/>
          <w:bCs/>
        </w:rPr>
        <w:t xml:space="preserve">Interactive Drill-Down:</w:t>
      </w:r>
      <w:r>
        <w:t xml:space="preserve"> </w:t>
      </w:r>
      <w:r>
        <w:t xml:space="preserve">Clicking on any chart segment or card filters other views. E.g., selecting a region on the map filters the transaction table to that region, or clicking a risk band filters the timeline. The UI allows pivoting by customer segment or channel, echoing channel-specific views recommended in fraud dashboards【17†L224-L232】.</w:t>
      </w:r>
    </w:p>
    <w:p>
      <w:pPr>
        <w:pStyle w:val="Compact"/>
        <w:numPr>
          <w:ilvl w:val="0"/>
          <w:numId w:val="1004"/>
        </w:numPr>
      </w:pPr>
      <w:r>
        <w:rPr>
          <w:b/>
          <w:bCs/>
        </w:rPr>
        <w:t xml:space="preserve">Explainability:</w:t>
      </w:r>
      <w:r>
        <w:t xml:space="preserve"> </w:t>
      </w:r>
      <w:r>
        <w:t xml:space="preserve">Where possible, show brief explanations (tooltips or side panel) for flagged items, such as “Large payment to new recipient – 90% risk.” This helps analysts trust the model.</w:t>
      </w:r>
    </w:p>
    <w:p>
      <w:pPr>
        <w:pStyle w:val="FirstParagraph"/>
      </w:pPr>
      <w:r>
        <w:t xml:space="preserve">By combining raw figures (from datasets like the synthetic M-Pesa logs) with model insights, the UI turns data into action. As one open-source fraud dashboard highlights, the interface should merge</w:t>
      </w:r>
      <w:r>
        <w:t xml:space="preserve"> </w:t>
      </w:r>
      <w:r>
        <w:rPr>
          <w:b/>
          <w:bCs/>
        </w:rPr>
        <w:t xml:space="preserve">machine learning insights with dynamic visualizations and alerts</w:t>
      </w:r>
      <w:r>
        <w:t xml:space="preserve">【32†L186-L194】. Each visualization updates as new data arrives, ensuring analysts see evolving fraud trends.</w:t>
      </w:r>
    </w:p>
    <w:bookmarkEnd w:id="13"/>
    <w:bookmarkStart w:id="14" w:name="interaction-flows-and-user-journey"/>
    <w:p>
      <w:pPr>
        <w:pStyle w:val="Heading2"/>
      </w:pPr>
      <w:r>
        <w:t xml:space="preserve">Interaction Flows and User Journey</w:t>
      </w:r>
    </w:p>
    <w:p>
      <w:pPr>
        <w:pStyle w:val="Compact"/>
        <w:numPr>
          <w:ilvl w:val="0"/>
          <w:numId w:val="1005"/>
        </w:numPr>
      </w:pPr>
      <w:r>
        <w:rPr>
          <w:b/>
          <w:bCs/>
        </w:rPr>
        <w:t xml:space="preserve">Login &amp; Role Assignment:</w:t>
      </w:r>
      <w:r>
        <w:t xml:space="preserve"> </w:t>
      </w:r>
      <w:r>
        <w:t xml:space="preserve">The user authenticates (multi-factor if needed) and enters a role (e.g. Analyst, Manager). The role determines which dashboards and actions are available (consistent with role-based UIs【32†L202-L211】).</w:t>
      </w:r>
    </w:p>
    <w:p>
      <w:pPr>
        <w:pStyle w:val="Compact"/>
        <w:numPr>
          <w:ilvl w:val="0"/>
          <w:numId w:val="1005"/>
        </w:numPr>
      </w:pPr>
      <w:r>
        <w:rPr>
          <w:b/>
          <w:bCs/>
        </w:rPr>
        <w:t xml:space="preserve">Dashboard Landing:</w:t>
      </w:r>
      <w:r>
        <w:t xml:space="preserve"> </w:t>
      </w:r>
      <w:r>
        <w:t xml:space="preserve">After login, the user sees the</w:t>
      </w:r>
      <w:r>
        <w:t xml:space="preserve"> </w:t>
      </w:r>
      <w:r>
        <w:rPr>
          <w:b/>
          <w:bCs/>
        </w:rPr>
        <w:t xml:space="preserve">overview dashboard</w:t>
      </w:r>
      <w:r>
        <w:t xml:space="preserve"> </w:t>
      </w:r>
      <w:r>
        <w:t xml:space="preserve">(summary cards, charts, etc.), with the latest data stream. Any active alerts (above threshold) are highlighted.</w:t>
      </w:r>
    </w:p>
    <w:p>
      <w:pPr>
        <w:pStyle w:val="Compact"/>
        <w:numPr>
          <w:ilvl w:val="0"/>
          <w:numId w:val="1005"/>
        </w:numPr>
      </w:pPr>
      <w:r>
        <w:rPr>
          <w:b/>
          <w:bCs/>
        </w:rPr>
        <w:t xml:space="preserve">Apply Filters:</w:t>
      </w:r>
      <w:r>
        <w:t xml:space="preserve"> </w:t>
      </w:r>
      <w:r>
        <w:t xml:space="preserve">The analyst sets filters (date range, region, transaction type). The charts and tables update accordingly. Real-time mode may be toggled on/off to pause live updates when investigating.</w:t>
      </w:r>
    </w:p>
    <w:p>
      <w:pPr>
        <w:pStyle w:val="Compact"/>
        <w:numPr>
          <w:ilvl w:val="0"/>
          <w:numId w:val="1005"/>
        </w:numPr>
      </w:pPr>
      <w:r>
        <w:rPr>
          <w:b/>
          <w:bCs/>
        </w:rPr>
        <w:t xml:space="preserve">Investigate Alerts:</w:t>
      </w:r>
      <w:r>
        <w:t xml:space="preserve"> </w:t>
      </w:r>
      <w:r>
        <w:t xml:space="preserve">The user clicks a flagged transaction from the alerts panel or table. A detail pane opens showing full transaction history, account info, geo, and the quantum model’s risk score. If needed, related transactions (same user or recipient) are listed.</w:t>
      </w:r>
    </w:p>
    <w:p>
      <w:pPr>
        <w:pStyle w:val="Compact"/>
        <w:numPr>
          <w:ilvl w:val="0"/>
          <w:numId w:val="1005"/>
        </w:numPr>
      </w:pPr>
      <w:r>
        <w:rPr>
          <w:b/>
          <w:bCs/>
        </w:rPr>
        <w:t xml:space="preserve">Take Action:</w:t>
      </w:r>
      <w:r>
        <w:t xml:space="preserve"> </w:t>
      </w:r>
      <w:r>
        <w:t xml:space="preserve">The user can</w:t>
      </w:r>
      <w:r>
        <w:t xml:space="preserve"> </w:t>
      </w:r>
      <w:r>
        <w:rPr>
          <w:b/>
          <w:bCs/>
        </w:rPr>
        <w:t xml:space="preserve">escalate</w:t>
      </w:r>
      <w:r>
        <w:t xml:space="preserve"> </w:t>
      </w:r>
      <w:r>
        <w:t xml:space="preserve">the transaction (mark as fraud, add note, send to compliance team) or</w:t>
      </w:r>
      <w:r>
        <w:t xml:space="preserve"> </w:t>
      </w:r>
      <w:r>
        <w:rPr>
          <w:b/>
          <w:bCs/>
        </w:rPr>
        <w:t xml:space="preserve">dismiss</w:t>
      </w:r>
      <w:r>
        <w:t xml:space="preserve"> </w:t>
      </w:r>
      <w:r>
        <w:t xml:space="preserve">it. This decision can be sent back to the system to improve future accuracy (active learning).</w:t>
      </w:r>
    </w:p>
    <w:p>
      <w:pPr>
        <w:pStyle w:val="Compact"/>
        <w:numPr>
          <w:ilvl w:val="0"/>
          <w:numId w:val="1005"/>
        </w:numPr>
      </w:pPr>
      <w:r>
        <w:rPr>
          <w:b/>
          <w:bCs/>
        </w:rPr>
        <w:t xml:space="preserve">Reporting &amp; Logs:</w:t>
      </w:r>
      <w:r>
        <w:t xml:space="preserve"> </w:t>
      </w:r>
      <w:r>
        <w:t xml:space="preserve">Users can generate or view reports (e.g. fraud trends over the month, model performance graphs). An audit trail logs all user actions for compliance.</w:t>
      </w:r>
    </w:p>
    <w:p>
      <w:pPr>
        <w:pStyle w:val="Compact"/>
        <w:numPr>
          <w:ilvl w:val="0"/>
          <w:numId w:val="1005"/>
        </w:numPr>
      </w:pPr>
      <w:r>
        <w:rPr>
          <w:b/>
          <w:bCs/>
        </w:rPr>
        <w:t xml:space="preserve">Notifications:</w:t>
      </w:r>
      <w:r>
        <w:t xml:space="preserve"> </w:t>
      </w:r>
      <w:r>
        <w:t xml:space="preserve">Beyond on-screen alerts, optional email or SMS notifications can be sent for high-severity fraud events. The UI itself continuously shows status badges (online/offline, last sync time).</w:t>
      </w:r>
    </w:p>
    <w:p>
      <w:pPr>
        <w:pStyle w:val="FirstParagraph"/>
      </w:pPr>
      <w:r>
        <w:t xml:space="preserve">Through these flows, the UI makes complex analysis intuitive: immediate alerts lead to focused investigation, as recommended by fraud ops best practices【36†L334-L343】【17†L248-L257】.</w:t>
      </w:r>
    </w:p>
    <w:bookmarkEnd w:id="14"/>
    <w:bookmarkStart w:id="15" w:name="design-system-style-guide"/>
    <w:p>
      <w:pPr>
        <w:pStyle w:val="Heading2"/>
      </w:pPr>
      <w:r>
        <w:t xml:space="preserve">Design System &amp; Style Guide</w:t>
      </w:r>
    </w:p>
    <w:p>
      <w:pPr>
        <w:pStyle w:val="Compact"/>
        <w:numPr>
          <w:ilvl w:val="0"/>
          <w:numId w:val="1006"/>
        </w:numPr>
      </w:pPr>
      <w:r>
        <w:rPr>
          <w:b/>
          <w:bCs/>
        </w:rPr>
        <w:t xml:space="preserve">Layout &amp; Navigation:</w:t>
      </w:r>
      <w:r>
        <w:t xml:space="preserve"> </w:t>
      </w:r>
      <w:r>
        <w:t xml:space="preserve">Use a clean, responsive layout. A collapsible sidebar or top nav organizes sections (Dashboard, Transactions, Alerts, Settings). Breadcrumbs and clear headings ensure users always know their context.</w:t>
      </w:r>
    </w:p>
    <w:p>
      <w:pPr>
        <w:pStyle w:val="Compact"/>
        <w:numPr>
          <w:ilvl w:val="0"/>
          <w:numId w:val="1006"/>
        </w:numPr>
      </w:pPr>
      <w:r>
        <w:rPr>
          <w:b/>
          <w:bCs/>
        </w:rPr>
        <w:t xml:space="preserve">Color &amp; Typography:</w:t>
      </w:r>
      <w:r>
        <w:t xml:space="preserve"> </w:t>
      </w:r>
      <w:r>
        <w:t xml:space="preserve">Follow a minimalist palette. For example, dark text on light background for readability, with</w:t>
      </w:r>
      <w:r>
        <w:t xml:space="preserve"> </w:t>
      </w:r>
      <w:r>
        <w:rPr>
          <w:b/>
          <w:bCs/>
        </w:rPr>
        <w:t xml:space="preserve">red/orange accents</w:t>
      </w:r>
      <w:r>
        <w:t xml:space="preserve"> </w:t>
      </w:r>
      <w:r>
        <w:t xml:space="preserve">to highlight high-risk items and green for safe metrics. As one design expert advises, “use color intentionally… to highlight top-priority items or ‘dangers’” and keep the rest neutral【13†L76-L80】. Choose accessible fonts at least 16px for body text. Avoid jargon: label things simply (“Suspected Fraud Rate” vs “Anomaly Incidence”).</w:t>
      </w:r>
    </w:p>
    <w:p>
      <w:pPr>
        <w:pStyle w:val="Compact"/>
        <w:numPr>
          <w:ilvl w:val="0"/>
          <w:numId w:val="1006"/>
        </w:numPr>
      </w:pPr>
      <w:r>
        <w:rPr>
          <w:b/>
          <w:bCs/>
        </w:rPr>
        <w:t xml:space="preserve">Language &amp; Localization:</w:t>
      </w:r>
      <w:r>
        <w:t xml:space="preserve"> </w:t>
      </w:r>
      <w:r>
        <w:t xml:space="preserve">Default to English, but support Swahili labels where possible. Provide tooltips or help icons to explain technical terms (e.g. “Quantum Risk Score”). Include small text sizes and high-contrast options for users with visual impairments.</w:t>
      </w:r>
    </w:p>
    <w:p>
      <w:pPr>
        <w:pStyle w:val="Compact"/>
        <w:numPr>
          <w:ilvl w:val="0"/>
          <w:numId w:val="1006"/>
        </w:numPr>
      </w:pPr>
      <w:r>
        <w:rPr>
          <w:b/>
          <w:bCs/>
        </w:rPr>
        <w:t xml:space="preserve">Icons &amp; Visuals:</w:t>
      </w:r>
      <w:r>
        <w:t xml:space="preserve"> </w:t>
      </w:r>
      <w:r>
        <w:t xml:space="preserve">Use intuitive icons (e.g. warning triangles for alerts, lock for security). Visual metaphors (maps, graphs) should match data meaning.</w:t>
      </w:r>
    </w:p>
    <w:p>
      <w:pPr>
        <w:pStyle w:val="Compact"/>
        <w:numPr>
          <w:ilvl w:val="0"/>
          <w:numId w:val="1006"/>
        </w:numPr>
      </w:pPr>
      <w:r>
        <w:rPr>
          <w:b/>
          <w:bCs/>
        </w:rPr>
        <w:t xml:space="preserve">Animation &amp; Feedback:</w:t>
      </w:r>
      <w:r>
        <w:t xml:space="preserve"> </w:t>
      </w:r>
      <w:r>
        <w:t xml:space="preserve">Smooth transitions on filters or page loads, subtle highlighting of new alerts. But avoid distracting animations – focus on data clarity.</w:t>
      </w:r>
    </w:p>
    <w:p>
      <w:pPr>
        <w:pStyle w:val="Compact"/>
        <w:numPr>
          <w:ilvl w:val="0"/>
          <w:numId w:val="1006"/>
        </w:numPr>
      </w:pPr>
      <w:r>
        <w:rPr>
          <w:b/>
          <w:bCs/>
        </w:rPr>
        <w:t xml:space="preserve">Consistency:</w:t>
      </w:r>
      <w:r>
        <w:t xml:space="preserve"> </w:t>
      </w:r>
      <w:r>
        <w:t xml:space="preserve">A style guide (or UI library theme) will enforce consistent spacing, colors, and button styles across components. Following M-Pesa’s design ethos, we prioritize simplicity for all users【28†L680-L687】: clear call-to-action buttons, minimal steps per flow, and no clutter. For example, menus use simple text (not nested options) and forms use clear validation.</w:t>
      </w:r>
    </w:p>
    <w:bookmarkEnd w:id="15"/>
    <w:bookmarkStart w:id="16" w:name="prototyping-and-handoff"/>
    <w:p>
      <w:pPr>
        <w:pStyle w:val="Heading2"/>
      </w:pPr>
      <w:r>
        <w:t xml:space="preserve">Prototyping and Handoff</w:t>
      </w:r>
    </w:p>
    <w:p>
      <w:pPr>
        <w:pStyle w:val="FirstParagraph"/>
      </w:pPr>
      <w:r>
        <w:t xml:space="preserve">We will develop</w:t>
      </w:r>
      <w:r>
        <w:t xml:space="preserve"> </w:t>
      </w:r>
      <w:r>
        <w:rPr>
          <w:b/>
          <w:bCs/>
        </w:rPr>
        <w:t xml:space="preserve">wireframes</w:t>
      </w:r>
      <w:r>
        <w:t xml:space="preserve"> </w:t>
      </w:r>
      <w:r>
        <w:t xml:space="preserve">and high-fidelity prototypes (e.g. in Figma or Adobe XD) early, covering all key screens (login, dashboard, transaction detail, settings). These prototypes will include actual sample data to validate usability. A</w:t>
      </w:r>
      <w:r>
        <w:t xml:space="preserve"> </w:t>
      </w:r>
      <w:r>
        <w:rPr>
          <w:b/>
          <w:bCs/>
        </w:rPr>
        <w:t xml:space="preserve">component library</w:t>
      </w:r>
      <w:r>
        <w:t xml:space="preserve"> </w:t>
      </w:r>
      <w:r>
        <w:t xml:space="preserve">(Storybook) will document each UI element (cards, charts, tables) with code snippets.</w:t>
      </w:r>
    </w:p>
    <w:p>
      <w:pPr>
        <w:pStyle w:val="BodyText"/>
      </w:pPr>
      <w:r>
        <w:t xml:space="preserve">For handoff, deliverables include:</w:t>
      </w:r>
    </w:p>
    <w:p>
      <w:pPr>
        <w:pStyle w:val="Compact"/>
        <w:numPr>
          <w:ilvl w:val="0"/>
          <w:numId w:val="1007"/>
        </w:numPr>
      </w:pPr>
      <w:r>
        <w:rPr>
          <w:b/>
          <w:bCs/>
        </w:rPr>
        <w:t xml:space="preserve">UI Style Guide:</w:t>
      </w:r>
      <w:r>
        <w:t xml:space="preserve"> </w:t>
      </w:r>
      <w:r>
        <w:t xml:space="preserve">Color palette, typography, icons, and component guidelines.</w:t>
      </w:r>
    </w:p>
    <w:p>
      <w:pPr>
        <w:pStyle w:val="Compact"/>
        <w:numPr>
          <w:ilvl w:val="0"/>
          <w:numId w:val="1007"/>
        </w:numPr>
      </w:pPr>
      <w:r>
        <w:rPr>
          <w:b/>
          <w:bCs/>
        </w:rPr>
        <w:t xml:space="preserve">Annotated Mockups:</w:t>
      </w:r>
      <w:r>
        <w:t xml:space="preserve"> </w:t>
      </w:r>
      <w:r>
        <w:t xml:space="preserve">Each screen with notes on data sources, API calls, and user actions.</w:t>
      </w:r>
    </w:p>
    <w:p>
      <w:pPr>
        <w:pStyle w:val="Compact"/>
        <w:numPr>
          <w:ilvl w:val="0"/>
          <w:numId w:val="1007"/>
        </w:numPr>
      </w:pPr>
      <w:r>
        <w:rPr>
          <w:b/>
          <w:bCs/>
        </w:rPr>
        <w:t xml:space="preserve">Developer Documentation:</w:t>
      </w:r>
      <w:r>
        <w:t xml:space="preserve"> </w:t>
      </w:r>
      <w:r>
        <w:t xml:space="preserve">Architecture diagrams and an API specification (endpoints for transactions, alerts, auth).</w:t>
      </w:r>
    </w:p>
    <w:p>
      <w:pPr>
        <w:pStyle w:val="Compact"/>
        <w:numPr>
          <w:ilvl w:val="0"/>
          <w:numId w:val="1007"/>
        </w:numPr>
      </w:pPr>
      <w:r>
        <w:rPr>
          <w:b/>
          <w:bCs/>
        </w:rPr>
        <w:t xml:space="preserve">Interactive Prototype:</w:t>
      </w:r>
      <w:r>
        <w:t xml:space="preserve"> </w:t>
      </w:r>
      <w:r>
        <w:t xml:space="preserve">Clickable demo linking screens, enabling user testing before coding.</w:t>
      </w:r>
    </w:p>
    <w:p>
      <w:pPr>
        <w:pStyle w:val="FirstParagraph"/>
      </w:pPr>
      <w:r>
        <w:t xml:space="preserve">These artifacts ensure the development team can implement the frontend exactly as envisioned. By combining solid architectural planning (tech stack, data flow) with polished UX design (wireframes, style guide), the Fraud Busters frontend will be powerful, user-friendly, and production-ready. All design choices are informed by the provided requirements and best practices in fraud analytics【17†L224-L232】【28†L680-L687】【32†L208-L216】, resulting in a professional, scalable interface for combating mobile money fraud.</w:t>
      </w:r>
    </w:p>
    <w:bookmarkEnd w:id="16"/>
    <w:bookmarkEnd w:id="17"/>
    <w:bookmarkEnd w:id="18"/>
    <w:p>
      <w:r>
        <w:pict>
          <v:rect style="width:0;height:1.5pt" o:hralign="center" o:hrstd="t" o:hr="t"/>
        </w:pict>
      </w:r>
    </w:p>
    <w:bookmarkStart w:id="19" w:name="citations"/>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