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Fraud Busters — Frontend System Design &amp; Architecture Prompt</w:t>
      </w:r>
    </w:p>
    <w:p>
      <w:pPr>
        <w:pStyle w:val="Heading2"/>
        <w:pStyle w:val="MdHeading2"/>
      </w:pPr>
      <w:r>
        <w:t xml:space="preserve">Purpose</w:t>
      </w:r>
    </w:p>
    <w:p>
      <w:pPr>
        <w:pStyle w:val="MdParagraph"/>
      </w:pPr>
      <w:r>
        <w:t xml:space="preserve">Use this document as the authoritative prompt for designing and implementing the </w:t>
      </w:r>
      <w:r>
        <w:rPr>
          <w:rStyle w:val="MdStrong"/>
          <w:b/>
          <w:bCs/>
        </w:rPr>
        <w:t xml:space="preserve">Fraud Busters</w:t>
      </w:r>
      <w:r>
        <w:t xml:space="preserve"> frontend: a polished, trustworthy, quantum-enhanced mobile-money fraud detection demonstration for the Q-Solve 2026 Kenya Hackathon. The frontend must transform a technically credible machine-learning workflow into a clear, memorable, and reliable 12-minute live demonstration for judges, mentors, fraud analysts, financial-technology stakeholders, and general observers.</w:t>
      </w:r>
    </w:p>
    <w:p>
      <w:pPr>
        <w:pStyle w:val="MdSpace"/>
        <w:spacing w:before="0" w:after="60"/>
      </w:pPr>
    </w:p>
    <w:p>
      <w:pPr>
        <w:pStyle w:val="MdParagraph"/>
      </w:pPr>
      <w:r>
        <w:t xml:space="preserve">The experience must communicate the value of quantum machine learning without exaggerating its current capabilities. The primary quantum candidate is a </w:t>
      </w:r>
      <w:r>
        <w:rPr>
          <w:rStyle w:val="MdStrong"/>
          <w:b/>
          <w:bCs/>
        </w:rPr>
        <w:t xml:space="preserve">Quantum Support Vector Machine (QSVM)</w:t>
      </w:r>
      <w:r>
        <w:t xml:space="preserve"> built from a shallow quantum feature map and estimated quantum kernel; a Quantum Neural Network is only a stretch comparison. The frontend must present results from the backend exactly as returned, preserve an honest comparison with Logistic Regression, Random Forest, XGBoost, and RBF-SVM, and clearly distinguish simulator, QPU, cached, mock, and fallback states.</w:t>
      </w:r>
    </w:p>
    <w:p>
      <w:pPr>
        <w:pStyle w:val="MdSpace"/>
        <w:spacing w:before="0" w:after="60"/>
      </w:pPr>
    </w:p>
    <w:p>
      <w:pPr>
        <w:pStyle w:val="MdBlockquote"/>
      </w:pPr>
      <w:r>
        <w:rPr>
          <w:rStyle w:val="MdStrong"/>
          <w:b/>
          <w:bCs/>
        </w:rPr>
        <w:t xml:space="preserve">Core product promise:</w:t>
      </w:r>
      <w:r>
        <w:t xml:space="preserve"> Fraud Busters helps a mobile-money risk operator understand whether a transaction deserves review by presenting a transparent model score, the model used, relevant transaction context, and an honest benchmark against classical baselines. It is a prototype decision-support interface, not an autonomous enforcement system or a production financial-risk platform.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Grounding context and non-negotiable constraints</w:t>
      </w:r>
    </w:p>
    <w:p>
      <w:pPr>
        <w:pStyle w:val="MdParagraph"/>
      </w:pPr>
      <w:r>
        <w:t xml:space="preserve">Design the product around the supplied challenge brief and team tracker. East Africa’s mobile-money environment is the narrative context, while the model evaluation is based primarily on the labeled PaySim1 dataset. PaySim1 contains approximately 6.36 million transaction rows and the fields </w:t>
      </w:r>
      <w:r>
        <w:rPr>
          <w:rStyle w:val="MdCode"/>
          <w:u w:val="single"/>
        </w:rPr>
        <w:t xml:space="preserve">step</w:t>
      </w:r>
      <w:r>
        <w:t xml:space="preserve">, </w:t>
      </w:r>
      <w:r>
        <w:rPr>
          <w:rStyle w:val="MdCode"/>
          <w:u w:val="single"/>
        </w:rPr>
        <w:t xml:space="preserve">type</w:t>
      </w:r>
      <w:r>
        <w:t xml:space="preserve">, </w:t>
      </w:r>
      <w:r>
        <w:rPr>
          <w:rStyle w:val="MdCode"/>
          <w:u w:val="single"/>
        </w:rPr>
        <w:t xml:space="preserve">amount</w:t>
      </w:r>
      <w:r>
        <w:t xml:space="preserve">, sender and receiver identifiers, sender and receiver balances, </w:t>
      </w:r>
      <w:r>
        <w:rPr>
          <w:rStyle w:val="MdCode"/>
          <w:u w:val="single"/>
        </w:rPr>
        <w:t xml:space="preserve">isFraud</w:t>
      </w:r>
      <w:r>
        <w:t xml:space="preserve">, and </w:t>
      </w:r>
      <w:r>
        <w:rPr>
          <w:rStyle w:val="MdCode"/>
          <w:u w:val="single"/>
        </w:rPr>
        <w:t xml:space="preserve">isFlaggedFraud</w:t>
      </w:r>
      <w:r>
        <w:t xml:space="preserve">; its fraud class is extremely imbalanced at approximately 0.13% of rows. [1] [2] [3]</w:t>
      </w:r>
    </w:p>
    <w:p>
      <w:pPr>
        <w:pStyle w:val="MdSpace"/>
        <w:spacing w:before="0" w:after="60"/>
      </w:pPr>
    </w:p>
    <w:p>
      <w:pPr>
        <w:pStyle w:val="MdParagraph"/>
      </w:pPr>
      <w:r>
        <w:t xml:space="preserve">The Data/ML team is expected to select only </w:t>
      </w:r>
      <w:r>
        <w:rPr>
          <w:rStyle w:val="MdStrong"/>
          <w:b/>
          <w:bCs/>
        </w:rPr>
        <w:t xml:space="preserve">4–8 final model features</w:t>
      </w:r>
      <w:r>
        <w:t xml:space="preserve">, define preprocessing and scaling, handle class imbalance, use one shared train/test split, train the classical baselines, estimate the quantum kernel, and train the QSVM. Several balance fields may introduce leakage because fraudulent transactions can be automatically cancelled; therefore, the frontend must never hardcode an assumed feature list or imply that a balance field is causally explanatory. It must render the final schema and metadata returned by the backend. [2]</w:t>
      </w:r>
    </w:p>
    <w:p>
      <w:pPr>
        <w:pStyle w:val="MdSpace"/>
        <w:spacing w:before="0" w:after="60"/>
      </w:pPr>
    </w:p>
    <w:p>
      <w:pPr>
        <w:pStyle w:val="MdParagraph"/>
      </w:pPr>
      <w:r>
        <w:t xml:space="preserve">The supplied Kenyan M-Pesa-style synthetic dataset contains realistic contextual fields such as amount, sender and receiver balances, transaction type, hour, month, weekday, device type, region, and an </w:t>
      </w:r>
      <w:r>
        <w:rPr>
          <w:rStyle w:val="MdCode"/>
          <w:u w:val="single"/>
        </w:rPr>
        <w:t xml:space="preserve">is_fraud</w:t>
      </w:r>
      <w:r>
        <w:t xml:space="preserve"> field. The team tracker scopes this dataset to exploration and visualization rather than authoritative model training, so the frontend may use it for contextual sample design or exploratory visuals but must treat PaySim1 and the backend response as the scoring authority. [2] [4]</w:t>
      </w:r>
    </w:p>
    <w:p>
      <w:pPr>
        <w:pStyle w:val="MdSpace"/>
        <w:spacing w:before="0" w:after="60"/>
      </w:pPr>
    </w:p>
    <w:p>
      <w:pPr>
        <w:pStyle w:val="MdParagraph"/>
      </w:pPr>
      <w:r>
        <w:t xml:space="preserve">The frontend must support the agreed integration shape: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Contract element</w:t>
            </w:r>
          </w:p>
        </w:tc>
        <w:tc>
          <w:tcPr>
            <w:tcBorders>
              <w:right w:val="none"/>
            </w:tcBorders>
            <w:tcMar>
              <w:top w:type="dxa" w:w="100"/>
              <w:left w:type="dxa" w:w="120"/>
              <w:bottom w:type="dxa" w:w="100"/>
              <w:right w:type="dxa" w:w="120"/>
            </w:tcMar>
            <w:vAlign w:val="center"/>
          </w:tcPr>
          <w:p>
            <w:pPr>
              <w:pStyle w:val="MdTableHeader"/>
            </w:pPr>
            <w:r>
              <w:t xml:space="preserve">Required 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Transaction input</w:t>
            </w:r>
          </w:p>
        </w:tc>
        <w:tc>
          <w:tcPr>
            <w:tcBorders>
              <w:right w:val="none"/>
            </w:tcBorders>
            <w:tcMar>
              <w:top w:type="dxa" w:w="80"/>
              <w:left w:type="dxa" w:w="120"/>
              <w:bottom w:type="dxa" w:w="80"/>
              <w:right w:type="dxa" w:w="120"/>
            </w:tcMar>
            <w:vAlign w:val="center"/>
          </w:tcPr>
          <w:p>
            <w:pPr>
              <w:pStyle w:val="MdTableCell"/>
            </w:pPr>
            <w:r>
              <w:t xml:space="preserve">A JSON object containing the final 4–8 model features agreed by Data/ML and Backend.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Fraud score</w:t>
            </w:r>
          </w:p>
        </w:tc>
        <w:tc>
          <w:tcPr>
            <w:tcBorders>
              <w:right w:val="none"/>
            </w:tcBorders>
            <w:tcMar>
              <w:top w:type="dxa" w:w="80"/>
              <w:left w:type="dxa" w:w="120"/>
              <w:bottom w:type="dxa" w:w="80"/>
              <w:right w:type="dxa" w:w="120"/>
            </w:tcMar>
            <w:vAlign w:val="center"/>
          </w:tcPr>
          <w:p>
            <w:pPr>
              <w:pStyle w:val="MdTableCell"/>
            </w:pPr>
            <w:r>
              <w:t xml:space="preserve">A numeric </w:t>
            </w:r>
            <w:r>
              <w:rPr>
                <w:rStyle w:val="MdCode"/>
                <w:u w:val="single"/>
              </w:rPr>
              <w:t xml:space="preserve">fraud_score</w:t>
            </w:r>
            <w:r>
              <w:t xml:space="preserve"> in the inclusive range </w:t>
            </w:r>
            <w:r>
              <w:rPr>
                <w:rStyle w:val="MdCode"/>
                <w:u w:val="single"/>
              </w:rPr>
              <w:t xml:space="preserve">[0,1]</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Model identity</w:t>
            </w:r>
          </w:p>
        </w:tc>
        <w:tc>
          <w:tcPr>
            <w:tcBorders>
              <w:right w:val="none"/>
            </w:tcBorders>
            <w:tcMar>
              <w:top w:type="dxa" w:w="80"/>
              <w:left w:type="dxa" w:w="120"/>
              <w:bottom w:type="dxa" w:w="80"/>
              <w:right w:type="dxa" w:w="120"/>
            </w:tcMar>
            <w:vAlign w:val="center"/>
          </w:tcPr>
          <w:p>
            <w:pPr>
              <w:pStyle w:val="MdTableCell"/>
            </w:pPr>
            <w:r>
              <w:t xml:space="preserve">A </w:t>
            </w:r>
            <w:r>
              <w:rPr>
                <w:rStyle w:val="MdCode"/>
                <w:u w:val="single"/>
              </w:rPr>
              <w:t xml:space="preserve">model_used</w:t>
            </w:r>
            <w:r>
              <w:t xml:space="preserve"> string such as </w:t>
            </w:r>
            <w:r>
              <w:rPr>
                <w:rStyle w:val="MdCode"/>
                <w:u w:val="single"/>
              </w:rPr>
              <w:t xml:space="preserve">qsvm</w:t>
            </w:r>
            <w:r>
              <w:t xml:space="preserve">, </w:t>
            </w:r>
            <w:r>
              <w:rPr>
                <w:rStyle w:val="MdCode"/>
                <w:u w:val="single"/>
              </w:rPr>
              <w:t xml:space="preserve">rbf_svm</w:t>
            </w:r>
            <w:r>
              <w:t xml:space="preserve">, </w:t>
            </w:r>
            <w:r>
              <w:rPr>
                <w:rStyle w:val="MdCode"/>
                <w:u w:val="single"/>
              </w:rPr>
              <w:t xml:space="preserve">xgboost</w:t>
            </w:r>
            <w:r>
              <w:t xml:space="preserve">, </w:t>
            </w:r>
            <w:r>
              <w:rPr>
                <w:rStyle w:val="MdCode"/>
                <w:u w:val="single"/>
              </w:rPr>
              <w:t xml:space="preserve">random_forest</w:t>
            </w:r>
            <w:r>
              <w:t xml:space="preserve">, or </w:t>
            </w:r>
            <w:r>
              <w:rPr>
                <w:rStyle w:val="MdCode"/>
                <w:u w:val="single"/>
              </w:rPr>
              <w:t xml:space="preserve">logistic_regression</w:t>
            </w: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Benchmark result</w:t>
            </w:r>
          </w:p>
        </w:tc>
        <w:tc>
          <w:tcPr>
            <w:tcBorders>
              <w:right w:val="none"/>
            </w:tcBorders>
            <w:tcMar>
              <w:top w:type="dxa" w:w="80"/>
              <w:left w:type="dxa" w:w="120"/>
              <w:bottom w:type="dxa" w:w="80"/>
              <w:right w:type="dxa" w:w="120"/>
            </w:tcMar>
            <w:vAlign w:val="center"/>
          </w:tcPr>
          <w:p>
            <w:pPr>
              <w:pStyle w:val="MdTableCell"/>
            </w:pPr>
            <w:r>
              <w:t xml:space="preserve">A </w:t>
            </w:r>
            <w:r>
              <w:rPr>
                <w:rStyle w:val="MdCode"/>
                <w:u w:val="single"/>
              </w:rPr>
              <w:t xml:space="preserve">benchmark_table</w:t>
            </w:r>
            <w:r>
              <w:t xml:space="preserve"> array containing model name, ROC-AUC, precision, recall, and F1.</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Optional metadata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Dataset, split, feature count, qubit count, simulator/QPU status, shot count, timestamp, threshold configuration, and request ID when available.</w:t>
            </w:r>
          </w:p>
        </w:tc>
      </w:tr>
    </w:tbl>
    <w:p>
      <w:pPr>
        <w:pStyle w:val="MdParagraph"/>
      </w:pPr>
      <w:r>
        <w:t xml:space="preserve">The frontend owner is responsible for the wireframe, UI shell, backend wiring, benchmark visualization, integration testing, live-demo polish, and full click-through rehearsal. The interface must initially work against mock responses so frontend development is not blocked by backend completion, then use the real API for end-to-end verification. [2]</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Product positioning and audience</w:t>
      </w:r>
    </w:p>
    <w:p>
      <w:pPr>
        <w:pStyle w:val="MdParagraph"/>
      </w:pPr>
      <w:r>
        <w:t xml:space="preserve">Build Fraud Busters as a </w:t>
      </w:r>
      <w:r>
        <w:rPr>
          <w:rStyle w:val="MdStrong"/>
          <w:b/>
          <w:bCs/>
        </w:rPr>
        <w:t xml:space="preserve">fraud intelligence command center</w:t>
      </w:r>
      <w:r>
        <w:t xml:space="preserve">, not as a generic dashboard. The design should make a judge understand the story in three seconds:</w:t>
      </w:r>
    </w:p>
    <w:p>
      <w:pPr>
        <w:pStyle w:val="MdSpace"/>
        <w:spacing w:before="0" w:after="60"/>
      </w:pPr>
    </w:p>
    <w:p>
      <w:pPr>
        <w:pStyle w:val="MdBlockquote"/>
      </w:pPr>
      <w:r>
        <w:rPr>
          <w:rStyle w:val="MdStrong"/>
          <w:b/>
          <w:bCs/>
        </w:rPr>
        <w:t xml:space="preserve">One transaction enters. A quantum model evaluates it. The operator sees a risk score, the model identity, the evidence context, and the benchmark story.</w:t>
      </w:r>
    </w:p>
    <w:p>
      <w:pPr>
        <w:pStyle w:val="MdSpace"/>
        <w:spacing w:before="0" w:after="60"/>
      </w:pPr>
    </w:p>
    <w:p>
      <w:pPr>
        <w:pStyle w:val="MdParagraph"/>
      </w:pPr>
      <w:r>
        <w:t xml:space="preserve">The primary audience is a fraud analyst or risk operator who needs fast triage. The secondary audience is a technical judge who needs to verify that the quantum result is not being presented in isolation. The tertiary audience is a general judge who needs to understand the social and economic relevance without knowing quantum computing.</w:t>
      </w:r>
    </w:p>
    <w:p>
      <w:pPr>
        <w:pStyle w:val="MdSpace"/>
        <w:spacing w:before="0" w:after="60"/>
      </w:pPr>
    </w:p>
    <w:p>
      <w:pPr>
        <w:pStyle w:val="MdParagraph"/>
      </w:pPr>
      <w:r>
        <w:t xml:space="preserve">Use plain language in the primary interaction and place technical detail behind expandable sections, tooltips, methodology panels, and provenance metadata. Do not force judges to read a mathematical explanation before they can see the value of the product.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Experience principles</w:t>
      </w:r>
    </w:p>
    <w:p>
      <w:pPr>
        <w:pStyle w:val="MdParagraph"/>
      </w:pPr>
      <w:r>
        <w:t xml:space="preserve">Follow these principles throughout the design and implementation:</w:t>
      </w:r>
    </w:p>
    <w:p>
      <w:pPr>
        <w:pStyle w:val="MdSpace"/>
        <w:spacing w:before="0" w:after="60"/>
      </w:pPr>
    </w:p>
    <w:p>
      <w:pPr>
        <w:pStyle w:val="MdListItem"/>
        <w:numPr>
          <w:ilvl w:val="0"/>
          <w:numId w:val="2"/>
        </w:numPr>
      </w:pPr>
      <w:r>
        <w:rPr>
          <w:rStyle w:val="MdStrong"/>
          <w:b/>
          <w:bCs/>
        </w:rPr>
        <w:t xml:space="preserve">Evidence before spectacle.</w:t>
      </w:r>
      <w:r>
        <w:t xml:space="preserve"> Quantum styling may create identity, but charts, labels, metric definitions, and provenance create credibility.</w:t>
      </w:r>
    </w:p>
    <w:p>
      <w:pPr>
        <w:pStyle w:val="MdListItem"/>
        <w:numPr>
          <w:ilvl w:val="0"/>
          <w:numId w:val="2"/>
        </w:numPr>
      </w:pPr>
      <w:r>
        <w:rPr>
          <w:rStyle w:val="MdStrong"/>
          <w:b/>
          <w:bCs/>
        </w:rPr>
        <w:t xml:space="preserve">Honest comparison.</w:t>
      </w:r>
      <w:r>
        <w:t xml:space="preserve"> QSVM must be visually emphasized as the headline candidate without hiding or distorting classical baselines.</w:t>
      </w:r>
    </w:p>
    <w:p>
      <w:pPr>
        <w:pStyle w:val="MdListItem"/>
        <w:numPr>
          <w:ilvl w:val="0"/>
          <w:numId w:val="2"/>
        </w:numPr>
      </w:pPr>
      <w:r>
        <w:rPr>
          <w:rStyle w:val="MdStrong"/>
          <w:b/>
          <w:bCs/>
        </w:rPr>
        <w:t xml:space="preserve">Decision support, not accusation.</w:t>
      </w:r>
      <w:r>
        <w:t xml:space="preserve"> Use language such as “high-risk signal,” “review recommended,” and “model score,” never “this person is a fraudster.”</w:t>
      </w:r>
    </w:p>
    <w:p>
      <w:pPr>
        <w:pStyle w:val="MdListItem"/>
        <w:numPr>
          <w:ilvl w:val="0"/>
          <w:numId w:val="2"/>
        </w:numPr>
      </w:pPr>
      <w:r>
        <w:rPr>
          <w:rStyle w:val="MdStrong"/>
          <w:b/>
          <w:bCs/>
        </w:rPr>
        <w:t xml:space="preserve">Schema-driven UI.</w:t>
      </w:r>
      <w:r>
        <w:t xml:space="preserve"> The final model feature schema is owned by Data/ML and Backend; the frontend must render it dynamically from typed configuration.</w:t>
      </w:r>
    </w:p>
    <w:p>
      <w:pPr>
        <w:pStyle w:val="MdListItem"/>
        <w:numPr>
          <w:ilvl w:val="0"/>
          <w:numId w:val="2"/>
        </w:numPr>
      </w:pPr>
      <w:r>
        <w:rPr>
          <w:rStyle w:val="MdStrong"/>
          <w:b/>
          <w:bCs/>
        </w:rPr>
        <w:t xml:space="preserve">Demo-first reliability.</w:t>
      </w:r>
      <w:r>
        <w:t xml:space="preserve"> Every important state must have a deliberate loading, success, error, timeout, and fallback experience.</w:t>
      </w:r>
    </w:p>
    <w:p>
      <w:pPr>
        <w:pStyle w:val="MdListItem"/>
        <w:numPr>
          <w:ilvl w:val="0"/>
          <w:numId w:val="2"/>
        </w:numPr>
      </w:pPr>
      <w:r>
        <w:rPr>
          <w:rStyle w:val="MdStrong"/>
          <w:b/>
          <w:bCs/>
        </w:rPr>
        <w:t xml:space="preserve">Readable at distance.</w:t>
      </w:r>
      <w:r>
        <w:t xml:space="preserve"> The final demo will be presented in a room, so primary values, labels, and chart legends must remain legible on a projector.</w:t>
      </w:r>
    </w:p>
    <w:p>
      <w:pPr>
        <w:pStyle w:val="MdListItem"/>
        <w:numPr>
          <w:ilvl w:val="0"/>
          <w:numId w:val="2"/>
        </w:numPr>
      </w:pPr>
      <w:r>
        <w:rPr>
          <w:rStyle w:val="MdStrong"/>
          <w:b/>
          <w:bCs/>
        </w:rPr>
        <w:t xml:space="preserve">Progressive disclosure.</w:t>
      </w:r>
      <w:r>
        <w:t xml:space="preserve"> Show the score first, the reasons and transaction context second, and the technical methodology third.</w:t>
      </w:r>
    </w:p>
    <w:p>
      <w:pPr>
        <w:pStyle w:val="MdListItem"/>
        <w:numPr>
          <w:ilvl w:val="0"/>
          <w:numId w:val="2"/>
        </w:numPr>
      </w:pPr>
      <w:r>
        <w:rPr>
          <w:rStyle w:val="MdStrong"/>
          <w:b/>
          <w:bCs/>
        </w:rPr>
        <w:t xml:space="preserve">No unsupported claims.</w:t>
      </w:r>
      <w:r>
        <w:t xml:space="preserve"> Do not claim quantum advantage, real-time production performance, an achieved false-positive rate below 5%, or live QPU execution unless the backend returns verifiable evidence for that claim.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Recommended information architecture</w:t>
      </w:r>
    </w:p>
    <w:p>
      <w:pPr>
        <w:pStyle w:val="MdParagraph"/>
      </w:pPr>
      <w:r>
        <w:t xml:space="preserve">Use a persistent dashboard shell on desktop and a compact drawer or bottom navigation on mobile. Establish the global layout before implementing individual pages so that no subpage becomes a navigation dead end. The static React template provides React, Wouter routing, Tailwind, shadcn/ui primitives, Lucide icons, Recharts, CSS-variable theming, and responsive/accessibility guidance that should be followed rather than replaced. [5]</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Route</w:t>
            </w:r>
          </w:p>
        </w:tc>
        <w:tc>
          <w:tcPr>
            <w:tcMar>
              <w:top w:type="dxa" w:w="100"/>
              <w:left w:type="dxa" w:w="120"/>
              <w:bottom w:type="dxa" w:w="100"/>
              <w:right w:type="dxa" w:w="120"/>
            </w:tcMar>
            <w:vAlign w:val="center"/>
          </w:tcPr>
          <w:p>
            <w:pPr>
              <w:pStyle w:val="MdTableHeader"/>
            </w:pPr>
            <w:r>
              <w:t xml:space="preserve">Purpose</w:t>
            </w:r>
          </w:p>
        </w:tc>
        <w:tc>
          <w:tcPr>
            <w:tcBorders>
              <w:right w:val="none"/>
            </w:tcBorders>
            <w:tcMar>
              <w:top w:type="dxa" w:w="100"/>
              <w:left w:type="dxa" w:w="120"/>
              <w:bottom w:type="dxa" w:w="100"/>
              <w:right w:type="dxa" w:w="120"/>
            </w:tcMar>
            <w:vAlign w:val="center"/>
          </w:tcPr>
          <w:p>
            <w:pPr>
              <w:pStyle w:val="MdTableHeader"/>
            </w:pPr>
            <w:r>
              <w:t xml:space="preserve">Primary user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t>
            </w:r>
          </w:p>
        </w:tc>
        <w:tc>
          <w:tcPr>
            <w:tcMar>
              <w:top w:type="dxa" w:w="80"/>
              <w:left w:type="dxa" w:w="120"/>
              <w:bottom w:type="dxa" w:w="80"/>
              <w:right w:type="dxa" w:w="120"/>
            </w:tcMar>
            <w:vAlign w:val="center"/>
          </w:tcPr>
          <w:p>
            <w:pPr>
              <w:pStyle w:val="MdTableCell"/>
            </w:pPr>
            <w:r>
              <w:t xml:space="preserve">Overview / command center showing product value, system status, latest score, and benchmark snapshot.</w:t>
            </w:r>
          </w:p>
        </w:tc>
        <w:tc>
          <w:tcPr>
            <w:tcBorders>
              <w:right w:val="none"/>
            </w:tcBorders>
            <w:tcMar>
              <w:top w:type="dxa" w:w="80"/>
              <w:left w:type="dxa" w:w="120"/>
              <w:bottom w:type="dxa" w:w="80"/>
              <w:right w:type="dxa" w:w="120"/>
            </w:tcMar>
            <w:vAlign w:val="center"/>
          </w:tcPr>
          <w:p>
            <w:pPr>
              <w:pStyle w:val="MdTableCell"/>
            </w:pPr>
            <w:r>
              <w:t xml:space="preserve">Start analysis.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/analyze</w:t>
            </w:r>
          </w:p>
        </w:tc>
        <w:tc>
          <w:tcPr>
            <w:tcMar>
              <w:top w:type="dxa" w:w="80"/>
              <w:left w:type="dxa" w:w="120"/>
              <w:bottom w:type="dxa" w:w="80"/>
              <w:right w:type="dxa" w:w="120"/>
            </w:tcMar>
            <w:vAlign w:val="center"/>
          </w:tcPr>
          <w:p>
            <w:pPr>
              <w:pStyle w:val="MdTableCell"/>
            </w:pPr>
            <w:r>
              <w:t xml:space="preserve">Main live-demo workspace containing transaction input and prediction result.</w:t>
            </w:r>
          </w:p>
        </w:tc>
        <w:tc>
          <w:tcPr>
            <w:tcBorders>
              <w:right w:val="none"/>
            </w:tcBorders>
            <w:tcMar>
              <w:top w:type="dxa" w:w="80"/>
              <w:left w:type="dxa" w:w="120"/>
              <w:bottom w:type="dxa" w:w="80"/>
              <w:right w:type="dxa" w:w="120"/>
            </w:tcMar>
            <w:vAlign w:val="center"/>
          </w:tcPr>
          <w:p>
            <w:pPr>
              <w:pStyle w:val="MdTableCell"/>
            </w:pPr>
            <w:r>
              <w:t xml:space="preserve">Analyze a transaction.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/benchmarks</w:t>
            </w:r>
          </w:p>
        </w:tc>
        <w:tc>
          <w:tcPr>
            <w:tcMar>
              <w:top w:type="dxa" w:w="80"/>
              <w:left w:type="dxa" w:w="120"/>
              <w:bottom w:type="dxa" w:w="80"/>
              <w:right w:type="dxa" w:w="120"/>
            </w:tcMar>
            <w:vAlign w:val="center"/>
          </w:tcPr>
          <w:p>
            <w:pPr>
              <w:pStyle w:val="MdTableCell"/>
            </w:pPr>
            <w:r>
              <w:t xml:space="preserve">Classical-versus-quantum evaluation view with charts, tables, metric definitions, and provenance.</w:t>
            </w:r>
          </w:p>
        </w:tc>
        <w:tc>
          <w:tcPr>
            <w:tcBorders>
              <w:right w:val="none"/>
            </w:tcBorders>
            <w:tcMar>
              <w:top w:type="dxa" w:w="80"/>
              <w:left w:type="dxa" w:w="120"/>
              <w:bottom w:type="dxa" w:w="80"/>
              <w:right w:type="dxa" w:w="120"/>
            </w:tcMar>
            <w:vAlign w:val="center"/>
          </w:tcPr>
          <w:p>
            <w:pPr>
              <w:pStyle w:val="MdTableCell"/>
            </w:pPr>
            <w:r>
              <w:t xml:space="preserve">Inspect model comparison.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/methodology</w:t>
            </w:r>
          </w:p>
        </w:tc>
        <w:tc>
          <w:tcPr>
            <w:tcMar>
              <w:top w:type="dxa" w:w="80"/>
              <w:left w:type="dxa" w:w="120"/>
              <w:bottom w:type="dxa" w:w="80"/>
              <w:right w:type="dxa" w:w="120"/>
            </w:tcMar>
            <w:vAlign w:val="center"/>
          </w:tcPr>
          <w:p>
            <w:pPr>
              <w:pStyle w:val="MdTableCell"/>
            </w:pPr>
            <w:r>
              <w:t xml:space="preserve">Human-readable explanation of preprocessing, feature map, quantum kernel, QSVM, and evaluation design.</w:t>
            </w:r>
          </w:p>
        </w:tc>
        <w:tc>
          <w:tcPr>
            <w:tcBorders>
              <w:right w:val="none"/>
            </w:tcBorders>
            <w:tcMar>
              <w:top w:type="dxa" w:w="80"/>
              <w:left w:type="dxa" w:w="120"/>
              <w:bottom w:type="dxa" w:w="80"/>
              <w:right w:type="dxa" w:w="120"/>
            </w:tcMar>
            <w:vAlign w:val="center"/>
          </w:tcPr>
          <w:p>
            <w:pPr>
              <w:pStyle w:val="MdTableCell"/>
            </w:pPr>
            <w:r>
              <w:t xml:space="preserve">Understand how the system works.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/demo</w:t>
            </w:r>
          </w:p>
        </w:tc>
        <w:tc>
          <w:tcPr>
            <w:tcMar>
              <w:top w:type="dxa" w:w="80"/>
              <w:left w:type="dxa" w:w="120"/>
              <w:bottom w:type="dxa" w:w="80"/>
              <w:right w:type="dxa" w:w="120"/>
            </w:tcMar>
            <w:vAlign w:val="center"/>
          </w:tcPr>
          <w:p>
            <w:pPr>
              <w:pStyle w:val="MdTableCell"/>
            </w:pPr>
            <w:r>
              <w:t xml:space="preserve">Optional rehearsal and reliability view with prepared samples, mock/live mode, and integration status.</w:t>
            </w:r>
          </w:p>
        </w:tc>
        <w:tc>
          <w:tcPr>
            <w:tcBorders>
              <w:right w:val="none"/>
            </w:tcBorders>
            <w:tcMar>
              <w:top w:type="dxa" w:w="80"/>
              <w:left w:type="dxa" w:w="120"/>
              <w:bottom w:type="dxa" w:w="80"/>
              <w:right w:type="dxa" w:w="120"/>
            </w:tcMar>
            <w:vAlign w:val="center"/>
          </w:tcPr>
          <w:p>
            <w:pPr>
              <w:pStyle w:val="MdTableCell"/>
            </w:pPr>
            <w:r>
              <w:t xml:space="preserve">Run a dependable presentation flow.</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Accessible not-found page with return-to-dashboard action.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Recover navigation.</w:t>
            </w:r>
          </w:p>
        </w:tc>
      </w:tr>
    </w:tbl>
    <w:p>
      <w:pPr>
        <w:pStyle w:val="MdParagraph"/>
      </w:pPr>
      <w:r>
        <w:t xml:space="preserve">The core demo should be completable from </w:t>
      </w:r>
      <w:r>
        <w:rPr>
          <w:rStyle w:val="MdCode"/>
          <w:u w:val="single"/>
        </w:rPr>
        <w:t xml:space="preserve">/analyze</w:t>
      </w:r>
      <w:r>
        <w:t xml:space="preserve"> without visiting another route. Place a primary </w:t>
      </w:r>
      <w:r>
        <w:rPr>
          <w:rStyle w:val="MdStrong"/>
          <w:b/>
          <w:bCs/>
        </w:rPr>
        <w:t xml:space="preserve">Analyze transaction</w:t>
      </w:r>
      <w:r>
        <w:t xml:space="preserve"> call-to-action in the shell and retain a visible breadcrumb or back action on secondary screens.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Global visual direction</w:t>
      </w:r>
    </w:p>
    <w:p>
      <w:pPr>
        <w:pStyle w:val="MdParagraph"/>
      </w:pPr>
      <w:r>
        <w:t xml:space="preserve">Adopt a </w:t>
      </w:r>
      <w:r>
        <w:rPr>
          <w:rStyle w:val="MdStrong"/>
          <w:b/>
          <w:bCs/>
        </w:rPr>
        <w:t xml:space="preserve">dark operational command-center</w:t>
      </w:r>
      <w:r>
        <w:t xml:space="preserve"> visual language with a restrained quantum-computing signature. Use deep navy or charcoal as the foundation, cool blue-gray surfaces for panels, electric cyan or teal for quantum signal and active controls, amber for “review” states, and red only for high-risk states. Avoid neon overload, excessive glassmorphism, decorative 3D circuits, and sci-fi imagery that competes with data.</w:t>
      </w:r>
    </w:p>
    <w:p>
      <w:pPr>
        <w:pStyle w:val="MdSpace"/>
        <w:spacing w:before="0" w:after="60"/>
      </w:pPr>
    </w:p>
    <w:p>
      <w:pPr>
        <w:pStyle w:val="MdParagraph"/>
      </w:pPr>
      <w:r>
        <w:t xml:space="preserve">Use a highly legible contemporary sans-serif for interface text and a mono font for scores, identifiers, metric values, API/status metadata, and technical labels. A strong type hierarchy should include a projected-demo display size for the main score, readable card titles, compact metadata, and generous line height for explanations.</w:t>
      </w:r>
    </w:p>
    <w:p>
      <w:pPr>
        <w:pStyle w:val="MdSpace"/>
        <w:spacing w:before="0" w:after="60"/>
      </w:pPr>
    </w:p>
    <w:p>
      <w:pPr>
        <w:pStyle w:val="MdParagraph"/>
      </w:pPr>
      <w:r>
        <w:t xml:space="preserve">Define all colors through CSS variables and semantic tokens. Pair semantic backgrounds with their corresponding foreground tokens, and ensure the selected </w:t>
      </w:r>
      <w:r>
        <w:rPr>
          <w:rStyle w:val="MdCode"/>
          <w:u w:val="single"/>
        </w:rPr>
        <w:t xml:space="preserve">ThemeProvider</w:t>
      </w:r>
      <w:r>
        <w:t xml:space="preserve"> default matches the variables in the global stylesheet. [5]</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Token group</w:t>
            </w:r>
          </w:p>
        </w:tc>
        <w:tc>
          <w:tcPr>
            <w:tcBorders>
              <w:right w:val="none"/>
            </w:tcBorders>
            <w:tcMar>
              <w:top w:type="dxa" w:w="100"/>
              <w:left w:type="dxa" w:w="120"/>
              <w:bottom w:type="dxa" w:w="100"/>
              <w:right w:type="dxa" w:w="120"/>
            </w:tcMar>
            <w:vAlign w:val="center"/>
          </w:tcPr>
          <w:p>
            <w:pPr>
              <w:pStyle w:val="MdTableHeader"/>
            </w:pPr>
            <w:r>
              <w:t xml:space="preserve">Direction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Background</w:t>
            </w:r>
          </w:p>
        </w:tc>
        <w:tc>
          <w:tcPr>
            <w:tcBorders>
              <w:right w:val="none"/>
            </w:tcBorders>
            <w:tcMar>
              <w:top w:type="dxa" w:w="80"/>
              <w:left w:type="dxa" w:w="120"/>
              <w:bottom w:type="dxa" w:w="80"/>
              <w:right w:type="dxa" w:w="120"/>
            </w:tcMar>
            <w:vAlign w:val="center"/>
          </w:tcPr>
          <w:p>
            <w:pPr>
              <w:pStyle w:val="MdTableCell"/>
            </w:pPr>
            <w:r>
              <w:t xml:space="preserve">Deep navy/charcoal with subtle radial grid or circuit texture.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Surface</w:t>
            </w:r>
          </w:p>
        </w:tc>
        <w:tc>
          <w:tcPr>
            <w:tcBorders>
              <w:right w:val="none"/>
            </w:tcBorders>
            <w:tcMar>
              <w:top w:type="dxa" w:w="80"/>
              <w:left w:type="dxa" w:w="120"/>
              <w:bottom w:type="dxa" w:w="80"/>
              <w:right w:type="dxa" w:w="120"/>
            </w:tcMar>
            <w:vAlign w:val="center"/>
          </w:tcPr>
          <w:p>
            <w:pPr>
              <w:pStyle w:val="MdTableCell"/>
            </w:pPr>
            <w:r>
              <w:t xml:space="preserve">Slightly lighter blue-gray cards with soft shadows rather than dense borders.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Quantum accent</w:t>
            </w:r>
          </w:p>
        </w:tc>
        <w:tc>
          <w:tcPr>
            <w:tcBorders>
              <w:right w:val="none"/>
            </w:tcBorders>
            <w:tcMar>
              <w:top w:type="dxa" w:w="80"/>
              <w:left w:type="dxa" w:w="120"/>
              <w:bottom w:type="dxa" w:w="80"/>
              <w:right w:type="dxa" w:w="120"/>
            </w:tcMar>
            <w:vAlign w:val="center"/>
          </w:tcPr>
          <w:p>
            <w:pPr>
              <w:pStyle w:val="MdTableCell"/>
            </w:pPr>
            <w:r>
              <w:t xml:space="preserve">Cyan/teal gradient used sparingly for QSVM identity, active focus, and progress.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Safe</w:t>
            </w:r>
          </w:p>
        </w:tc>
        <w:tc>
          <w:tcPr>
            <w:tcBorders>
              <w:right w:val="none"/>
            </w:tcBorders>
            <w:tcMar>
              <w:top w:type="dxa" w:w="80"/>
              <w:left w:type="dxa" w:w="120"/>
              <w:bottom w:type="dxa" w:w="80"/>
              <w:right w:type="dxa" w:w="120"/>
            </w:tcMar>
            <w:vAlign w:val="center"/>
          </w:tcPr>
          <w:p>
            <w:pPr>
              <w:pStyle w:val="MdTableCell"/>
            </w:pPr>
            <w:r>
              <w:t xml:space="preserve">Desaturated green with icon and text label.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Review</w:t>
            </w:r>
          </w:p>
        </w:tc>
        <w:tc>
          <w:tcPr>
            <w:tcBorders>
              <w:right w:val="none"/>
            </w:tcBorders>
            <w:tcMar>
              <w:top w:type="dxa" w:w="80"/>
              <w:left w:type="dxa" w:w="120"/>
              <w:bottom w:type="dxa" w:w="80"/>
              <w:right w:type="dxa" w:w="120"/>
            </w:tcMar>
            <w:vAlign w:val="center"/>
          </w:tcPr>
          <w:p>
            <w:pPr>
              <w:pStyle w:val="MdTableCell"/>
            </w:pPr>
            <w:r>
              <w:t xml:space="preserve">Amber/gold with icon and text label.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High risk</w:t>
            </w:r>
          </w:p>
        </w:tc>
        <w:tc>
          <w:tcPr>
            <w:tcBorders>
              <w:right w:val="none"/>
            </w:tcBorders>
            <w:tcMar>
              <w:top w:type="dxa" w:w="80"/>
              <w:left w:type="dxa" w:w="120"/>
              <w:bottom w:type="dxa" w:w="80"/>
              <w:right w:type="dxa" w:w="120"/>
            </w:tcMar>
            <w:vAlign w:val="center"/>
          </w:tcPr>
          <w:p>
            <w:pPr>
              <w:pStyle w:val="MdTableCell"/>
            </w:pPr>
            <w:r>
              <w:t xml:space="preserve">Red/coral with icon, text label, and non-color pattern or glyph.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Neutral</w:t>
            </w:r>
          </w:p>
        </w:tc>
        <w:tc>
          <w:tcPr>
            <w:tcBorders>
              <w:right w:val="none"/>
            </w:tcBorders>
            <w:tcMar>
              <w:top w:type="dxa" w:w="80"/>
              <w:left w:type="dxa" w:w="120"/>
              <w:bottom w:type="dxa" w:w="80"/>
              <w:right w:type="dxa" w:w="120"/>
            </w:tcMar>
            <w:vAlign w:val="center"/>
          </w:tcPr>
          <w:p>
            <w:pPr>
              <w:pStyle w:val="MdTableCell"/>
            </w:pPr>
            <w:r>
              <w:t xml:space="preserve">Slate/gray for unavailable, cached, or explanatory content.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Focus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Bright, high-contrast ring that remains visible on dark and light surfaces.</w:t>
            </w:r>
          </w:p>
        </w:tc>
      </w:tr>
    </w:tbl>
    <w:p>
      <w:pPr>
        <w:pStyle w:val="MdParagraph"/>
      </w:pPr>
      <w:r>
        <w:t xml:space="preserve">Use subtle animated signal lines, progress pulses, or kernel-processing indicators only for intentional transitions. Keep interactions below approximately 300 ms, animate primarily opacity and transform, and honor </w:t>
      </w:r>
      <w:r>
        <w:rPr>
          <w:rStyle w:val="MdCode"/>
          <w:u w:val="single"/>
        </w:rPr>
        <w:t xml:space="preserve">prefers-reduced-motion</w:t>
      </w:r>
      <w:r>
        <w:t xml:space="preserve">. [5]</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Global shell and navigation</w:t>
      </w:r>
    </w:p>
    <w:p>
      <w:pPr>
        <w:pStyle w:val="MdParagraph"/>
      </w:pPr>
      <w:r>
        <w:t xml:space="preserve">The desktop shell should contain a compact brand block with the </w:t>
      </w:r>
      <w:r>
        <w:rPr>
          <w:rStyle w:val="MdStrong"/>
          <w:b/>
          <w:bCs/>
        </w:rPr>
        <w:t xml:space="preserve">Fraud Busters</w:t>
      </w:r>
      <w:r>
        <w:t xml:space="preserve"> name and a simple shield-plus-node mark, primary navigation, a system-status indicator, a demo-mode indicator, and a small footer with the prototype disclaimer. The main content area should use a wide but controlled max width so charts remain readable and do not become stretched across the screen.</w:t>
      </w:r>
    </w:p>
    <w:p>
      <w:pPr>
        <w:pStyle w:val="MdSpace"/>
        <w:spacing w:before="0" w:after="60"/>
      </w:pPr>
    </w:p>
    <w:p>
      <w:pPr>
        <w:pStyle w:val="MdParagraph"/>
      </w:pPr>
      <w:r>
        <w:t xml:space="preserve">The header should communicate:</w:t>
      </w:r>
    </w:p>
    <w:p>
      <w:pPr>
        <w:pStyle w:val="MdSpace"/>
        <w:spacing w:before="0" w:after="60"/>
      </w:pPr>
    </w:p>
    <w:p>
      <w:pPr>
        <w:pStyle w:val="MdListItem"/>
        <w:numPr>
          <w:ilvl w:val="0"/>
          <w:numId w:val="3"/>
        </w:numPr>
      </w:pPr>
      <w:r>
        <w:t xml:space="preserve">Current page title and a one-line purpose statement.</w:t>
      </w:r>
    </w:p>
    <w:p>
      <w:pPr>
        <w:pStyle w:val="MdListItem"/>
        <w:numPr>
          <w:ilvl w:val="0"/>
          <w:numId w:val="3"/>
        </w:numPr>
      </w:pPr>
      <w:r>
        <w:t xml:space="preserve">Whether the frontend is connected to the backend.</w:t>
      </w:r>
    </w:p>
    <w:p>
      <w:pPr>
        <w:pStyle w:val="MdListItem"/>
        <w:numPr>
          <w:ilvl w:val="0"/>
          <w:numId w:val="3"/>
        </w:numPr>
      </w:pPr>
      <w:r>
        <w:t xml:space="preserve">Whether the current result is live, cached, or mock.</w:t>
      </w:r>
    </w:p>
    <w:p>
      <w:pPr>
        <w:pStyle w:val="MdListItem"/>
        <w:numPr>
          <w:ilvl w:val="0"/>
          <w:numId w:val="3"/>
        </w:numPr>
      </w:pPr>
      <w:r>
        <w:t xml:space="preserve">A theme control only if it does not compromise demo consistency.</w:t>
      </w:r>
    </w:p>
    <w:p>
      <w:pPr>
        <w:pStyle w:val="MdListItem"/>
        <w:numPr>
          <w:ilvl w:val="0"/>
          <w:numId w:val="3"/>
        </w:numPr>
      </w:pPr>
      <w:r>
        <w:t xml:space="preserve">A compact command/action affordance for loading prepared examples.</w:t>
      </w:r>
    </w:p>
    <w:p>
      <w:pPr>
        <w:pStyle w:val="MdSpace"/>
        <w:spacing w:before="0" w:after="60"/>
      </w:pPr>
    </w:p>
    <w:p>
      <w:pPr>
        <w:pStyle w:val="MdParagraph"/>
      </w:pPr>
      <w:r>
        <w:t xml:space="preserve">On mobile, collapse navigation into a drawer with a clear close action and retain the primary analyze action. Never rely on hover alone. Every icon-only control requires an accessible label and tooltip.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Main screen: </w:t>
      </w:r>
      <w:r>
        <w:rPr>
          <w:rStyle w:val="MdCode"/>
          <w:u w:val="single"/>
        </w:rPr>
        <w:t xml:space="preserve">/analyze</w:t>
      </w:r>
    </w:p>
    <w:p>
      <w:pPr>
        <w:pStyle w:val="MdParagraph"/>
      </w:pPr>
      <w:r>
        <w:t xml:space="preserve">The analyze screen is the centerpiece of the entire product and must be optimized for the live demo. Use a two-column desktop composition: the left side contains the transaction form and sample scenarios; the right side contains the result state. On smaller screens, stack the form above the result while keeping the primary action reachable without excessive scrolling.</w:t>
      </w:r>
    </w:p>
    <w:p>
      <w:pPr>
        <w:pStyle w:val="MdSpace"/>
        <w:spacing w:before="0" w:after="60"/>
      </w:pPr>
    </w:p>
    <w:p>
      <w:pPr>
        <w:pStyle w:val="Heading3"/>
        <w:pStyle w:val="MdHeading3"/>
      </w:pPr>
      <w:r>
        <w:t xml:space="preserve">7.1 Transaction form</w:t>
      </w:r>
    </w:p>
    <w:p>
      <w:pPr>
        <w:pStyle w:val="MdParagraph"/>
      </w:pPr>
      <w:r>
        <w:t xml:space="preserve">Create a progressive, schema-driven form titled </w:t>
      </w:r>
      <w:r>
        <w:rPr>
          <w:rStyle w:val="MdStrong"/>
          <w:b/>
          <w:bCs/>
        </w:rPr>
        <w:t xml:space="preserve">Analyze a transaction</w:t>
      </w:r>
      <w:r>
        <w:t xml:space="preserve">. The fields must be generated from the final feature configuration agreed by Data/ML and Backend. Do not hardcode PaySim1’s full raw schema into the UI if the model uses only 4–8 fields. Exclude names, phone numbers, account IDs, and other personal identifiers from the user-facing form.</w:t>
      </w:r>
    </w:p>
    <w:p>
      <w:pPr>
        <w:pStyle w:val="MdSpace"/>
        <w:spacing w:before="0" w:after="60"/>
      </w:pPr>
    </w:p>
    <w:p>
      <w:pPr>
        <w:pStyle w:val="MdParagraph"/>
      </w:pPr>
      <w:r>
        <w:t xml:space="preserve">Each field definition should include a stable key, display label, type, unit, optional description, validation range, placeholder, options, and whether it is required. Use controlled inputs with explicit numeric parsing, precision handling, and validation messages. For categorical fields, every select option must have a non-empty value. [5]</w:t>
      </w:r>
    </w:p>
    <w:p>
      <w:pPr>
        <w:pStyle w:val="MdSpace"/>
        <w:spacing w:before="0" w:after="60"/>
      </w:pPr>
    </w:p>
    <w:p>
      <w:pPr>
        <w:pStyle w:val="MdParagraph"/>
      </w:pPr>
      <w:r>
        <w:t xml:space="preserve">The form should support:</w:t>
      </w:r>
    </w:p>
    <w:p>
      <w:pPr>
        <w:pStyle w:val="MdSpace"/>
        <w:spacing w:before="0" w:after="60"/>
      </w:pPr>
    </w:p>
    <w:p>
      <w:pPr>
        <w:pStyle w:val="MdListItem"/>
        <w:numPr>
          <w:ilvl w:val="0"/>
          <w:numId w:val="3"/>
        </w:numPr>
      </w:pPr>
      <w:r>
        <w:t xml:space="preserve">A </w:t>
      </w:r>
      <w:r>
        <w:rPr>
          <w:rStyle w:val="MdStrong"/>
          <w:b/>
          <w:bCs/>
        </w:rPr>
        <w:t xml:space="preserve">Load sample transaction</w:t>
      </w:r>
      <w:r>
        <w:t xml:space="preserve"> control with at least three prepared scenarios: low-risk routine payment, high-risk/fraud-like transaction, and edge case.</w:t>
      </w:r>
    </w:p>
    <w:p>
      <w:pPr>
        <w:pStyle w:val="MdListItem"/>
        <w:numPr>
          <w:ilvl w:val="0"/>
          <w:numId w:val="3"/>
        </w:numPr>
      </w:pPr>
      <w:r>
        <w:t xml:space="preserve">Optional synthetic transaction ID, clearly labeled as a demo identifier and never sent as an unnecessary model feature.</w:t>
      </w:r>
    </w:p>
    <w:p>
      <w:pPr>
        <w:pStyle w:val="MdListItem"/>
        <w:numPr>
          <w:ilvl w:val="0"/>
          <w:numId w:val="3"/>
        </w:numPr>
      </w:pPr>
      <w:r>
        <w:t xml:space="preserve">Amount formatting appropriate to the demo’s selected currency context, with an explicit “synthetic demo data” label.</w:t>
      </w:r>
    </w:p>
    <w:p>
      <w:pPr>
        <w:pStyle w:val="MdListItem"/>
        <w:numPr>
          <w:ilvl w:val="0"/>
          <w:numId w:val="3"/>
        </w:numPr>
      </w:pPr>
      <w:r>
        <w:t xml:space="preserve">Balance-before and balance-after fields only if they are part of the final agreed model input.</w:t>
      </w:r>
    </w:p>
    <w:p>
      <w:pPr>
        <w:pStyle w:val="MdListItem"/>
        <w:numPr>
          <w:ilvl w:val="0"/>
          <w:numId w:val="3"/>
        </w:numPr>
      </w:pPr>
      <w:r>
        <w:t xml:space="preserve">A compact “Why these fields?” disclosure that explains feature selection without implying causal attribution.</w:t>
      </w:r>
    </w:p>
    <w:p>
      <w:pPr>
        <w:pStyle w:val="MdListItem"/>
        <w:numPr>
          <w:ilvl w:val="0"/>
          <w:numId w:val="3"/>
        </w:numPr>
      </w:pPr>
      <w:r>
        <w:t xml:space="preserve">Reset, clear, and review-before-submit actions.</w:t>
      </w:r>
    </w:p>
    <w:p>
      <w:pPr>
        <w:pStyle w:val="MdListItem"/>
        <w:numPr>
          <w:ilvl w:val="0"/>
          <w:numId w:val="3"/>
        </w:numPr>
      </w:pPr>
      <w:r>
        <w:t xml:space="preserve">A prominent submit button labeled </w:t>
      </w:r>
      <w:r>
        <w:rPr>
          <w:rStyle w:val="MdStrong"/>
          <w:b/>
          <w:bCs/>
        </w:rPr>
        <w:t xml:space="preserve">Analyze with QSVM</w:t>
      </w:r>
      <w:r>
        <w:t xml:space="preserve"> when QSVM is the selected primary model.</w:t>
      </w:r>
    </w:p>
    <w:p>
      <w:pPr>
        <w:pStyle w:val="MdListItem"/>
        <w:numPr>
          <w:ilvl w:val="0"/>
          <w:numId w:val="3"/>
        </w:numPr>
      </w:pPr>
      <w:r>
        <w:t xml:space="preserve">A secondary controlled selector only if the backend actually supports model selection; never show a model selector that promises unavailable models.</w:t>
      </w:r>
    </w:p>
    <w:p>
      <w:pPr>
        <w:pStyle w:val="MdSpace"/>
        <w:spacing w:before="0" w:after="60"/>
      </w:pPr>
    </w:p>
    <w:p>
      <w:pPr>
        <w:pStyle w:val="MdParagraph"/>
      </w:pPr>
      <w:r>
        <w:t xml:space="preserve">Place a visible privacy statement near the form: </w:t>
      </w:r>
      <w:r>
        <w:rPr>
          <w:rStyle w:val="MdStrong"/>
          <w:b/>
          <w:bCs/>
        </w:rPr>
        <w:t xml:space="preserve">“Use synthetic or anonymized demonstration values. Do not enter real customer information.”</w:t>
      </w:r>
    </w:p>
    <w:p>
      <w:pPr>
        <w:pStyle w:val="MdSpace"/>
        <w:spacing w:before="0" w:after="60"/>
      </w:pPr>
    </w:p>
    <w:p>
      <w:pPr>
        <w:pStyle w:val="Heading3"/>
        <w:pStyle w:val="MdHeading3"/>
      </w:pPr>
      <w:r>
        <w:t xml:space="preserve">7.2 Analyzing state</w:t>
      </w:r>
    </w:p>
    <w:p>
      <w:pPr>
        <w:pStyle w:val="MdParagraph"/>
      </w:pPr>
      <w:r>
        <w:t xml:space="preserve">After submission, disable duplicate submissions, preserve the submitted values, and show a purposeful progress state. The progress treatment may communicate stages such as </w:t>
      </w:r>
      <w:r>
        <w:rPr>
          <w:rStyle w:val="MdStrong"/>
          <w:b/>
          <w:bCs/>
        </w:rPr>
        <w:t xml:space="preserve">Validating input</w:t>
      </w:r>
      <w:r>
        <w:t xml:space="preserve">, </w:t>
      </w:r>
      <w:r>
        <w:rPr>
          <w:rStyle w:val="MdStrong"/>
          <w:b/>
          <w:bCs/>
        </w:rPr>
        <w:t xml:space="preserve">Preparing feature vector</w:t>
      </w:r>
      <w:r>
        <w:t xml:space="preserve">, </w:t>
      </w:r>
      <w:r>
        <w:rPr>
          <w:rStyle w:val="MdStrong"/>
          <w:b/>
          <w:bCs/>
        </w:rPr>
        <w:t xml:space="preserve">Evaluating quantum kernel</w:t>
      </w:r>
      <w:r>
        <w:t xml:space="preserve">, and </w:t>
      </w:r>
      <w:r>
        <w:rPr>
          <w:rStyle w:val="MdStrong"/>
          <w:b/>
          <w:bCs/>
        </w:rPr>
        <w:t xml:space="preserve">Preparing result</w:t>
      </w:r>
      <w:r>
        <w:t xml:space="preserve">, but it must not imply that each stage is independently measured unless the backend provides those statuses.</w:t>
      </w:r>
    </w:p>
    <w:p>
      <w:pPr>
        <w:pStyle w:val="MdSpace"/>
        <w:spacing w:before="0" w:after="60"/>
      </w:pPr>
    </w:p>
    <w:p>
      <w:pPr>
        <w:pStyle w:val="MdParagraph"/>
      </w:pPr>
      <w:r>
        <w:t xml:space="preserve">Show the request start time or elapsed duration only if useful. Provide a cancel action when the API client supports cancellation. The analyzing state must be visually distinct from the final result but should not use an infinite spinner without context.</w:t>
      </w:r>
    </w:p>
    <w:p>
      <w:pPr>
        <w:pStyle w:val="MdSpace"/>
        <w:spacing w:before="0" w:after="60"/>
      </w:pPr>
    </w:p>
    <w:p>
      <w:pPr>
        <w:pStyle w:val="Heading3"/>
        <w:pStyle w:val="MdHeading3"/>
      </w:pPr>
      <w:r>
        <w:t xml:space="preserve">7.3 Result state</w:t>
      </w:r>
    </w:p>
    <w:p>
      <w:pPr>
        <w:pStyle w:val="MdParagraph"/>
      </w:pPr>
      <w:r>
        <w:t xml:space="preserve">When the response arrives, show a large result card with the following hierarchy:</w:t>
      </w:r>
    </w:p>
    <w:p>
      <w:pPr>
        <w:pStyle w:val="MdSpace"/>
        <w:spacing w:before="0" w:after="60"/>
      </w:pPr>
    </w:p>
    <w:p>
      <w:pPr>
        <w:pStyle w:val="MdListItem"/>
        <w:numPr>
          <w:ilvl w:val="0"/>
          <w:numId w:val="2"/>
        </w:numPr>
      </w:pPr>
      <w:r>
        <w:rPr>
          <w:rStyle w:val="MdStrong"/>
          <w:b/>
          <w:bCs/>
        </w:rPr>
        <w:t xml:space="preserve">Risk band</w:t>
      </w:r>
      <w:r>
        <w:t xml:space="preserve">, such as Low risk, Review recommended, or High-risk signal.</w:t>
      </w:r>
    </w:p>
    <w:p>
      <w:pPr>
        <w:pStyle w:val="MdListItem"/>
        <w:numPr>
          <w:ilvl w:val="0"/>
          <w:numId w:val="2"/>
        </w:numPr>
      </w:pPr>
      <w:r>
        <w:rPr>
          <w:rStyle w:val="MdStrong"/>
          <w:b/>
          <w:bCs/>
        </w:rPr>
        <w:t xml:space="preserve">Fraud score</w:t>
      </w:r>
      <w:r>
        <w:t xml:space="preserve">, formatted as a percentage and retaining an accessible raw decimal in supporting text or tooltip.</w:t>
      </w:r>
    </w:p>
    <w:p>
      <w:pPr>
        <w:pStyle w:val="MdListItem"/>
        <w:numPr>
          <w:ilvl w:val="0"/>
          <w:numId w:val="2"/>
        </w:numPr>
      </w:pPr>
      <w:r>
        <w:rPr>
          <w:rStyle w:val="MdStrong"/>
          <w:b/>
          <w:bCs/>
        </w:rPr>
        <w:t xml:space="preserve">Model used</w:t>
      </w:r>
      <w:r>
        <w:t xml:space="preserve">, for example QSVM or an explicitly returned fallback model.</w:t>
      </w:r>
    </w:p>
    <w:p>
      <w:pPr>
        <w:pStyle w:val="MdListItem"/>
        <w:numPr>
          <w:ilvl w:val="0"/>
          <w:numId w:val="2"/>
        </w:numPr>
      </w:pPr>
      <w:r>
        <w:rPr>
          <w:rStyle w:val="MdStrong"/>
          <w:b/>
          <w:bCs/>
        </w:rPr>
        <w:t xml:space="preserve">Execution state</w:t>
      </w:r>
      <w:r>
        <w:t xml:space="preserve">, such as Simulator result, QPU confirmation run, Cached benchmark, or Mock demo response.</w:t>
      </w:r>
    </w:p>
    <w:p>
      <w:pPr>
        <w:pStyle w:val="MdListItem"/>
        <w:numPr>
          <w:ilvl w:val="0"/>
          <w:numId w:val="2"/>
        </w:numPr>
      </w:pPr>
      <w:r>
        <w:rPr>
          <w:rStyle w:val="MdStrong"/>
          <w:b/>
          <w:bCs/>
        </w:rPr>
        <w:t xml:space="preserve">Timestamp and request ID</w:t>
      </w:r>
      <w:r>
        <w:t xml:space="preserve">, when returned.</w:t>
      </w:r>
    </w:p>
    <w:p>
      <w:pPr>
        <w:pStyle w:val="MdListItem"/>
        <w:numPr>
          <w:ilvl w:val="0"/>
          <w:numId w:val="2"/>
        </w:numPr>
      </w:pPr>
      <w:r>
        <w:rPr>
          <w:rStyle w:val="MdStrong"/>
          <w:b/>
          <w:bCs/>
        </w:rPr>
        <w:t xml:space="preserve">A concise action recommendation</w:t>
      </w:r>
      <w:r>
        <w:t xml:space="preserve">, such as “Route to analyst review,” rather than “Block transaction.”</w:t>
      </w:r>
    </w:p>
    <w:p>
      <w:pPr>
        <w:pStyle w:val="MdSpace"/>
        <w:spacing w:before="0" w:after="60"/>
      </w:pPr>
    </w:p>
    <w:p>
      <w:pPr>
        <w:pStyle w:val="MdParagraph"/>
      </w:pPr>
      <w:r>
        <w:t xml:space="preserve">Use a semicircular gauge, segmented meter, or large numeric score card only if the exact value remains legible and the design does not suggest unjustified precision. Always pair color with text, iconography, and accessible status text.</w:t>
      </w:r>
    </w:p>
    <w:p>
      <w:pPr>
        <w:pStyle w:val="MdSpace"/>
        <w:spacing w:before="0" w:after="60"/>
      </w:pPr>
    </w:p>
    <w:p>
      <w:pPr>
        <w:pStyle w:val="MdParagraph"/>
      </w:pPr>
      <w:r>
        <w:t xml:space="preserve">Include a transaction summary card showing only the relevant submitted fields, with readable labels and formatted values. If the backend returns optional signal context, render it in a section called </w:t>
      </w:r>
      <w:r>
        <w:rPr>
          <w:rStyle w:val="MdStrong"/>
          <w:b/>
          <w:bCs/>
        </w:rPr>
        <w:t xml:space="preserve">Model input context</w:t>
      </w:r>
      <w:r>
        <w:t xml:space="preserve"> or </w:t>
      </w:r>
      <w:r>
        <w:rPr>
          <w:rStyle w:val="MdStrong"/>
          <w:b/>
          <w:bCs/>
        </w:rPr>
        <w:t xml:space="preserve">Returned signal context</w:t>
      </w:r>
      <w:r>
        <w:t xml:space="preserve">, not </w:t>
      </w:r>
      <w:r>
        <w:rPr>
          <w:rStyle w:val="MdStrong"/>
          <w:b/>
          <w:bCs/>
        </w:rPr>
        <w:t xml:space="preserve">Reasons for fraud</w:t>
      </w:r>
      <w:r>
        <w:t xml:space="preserve">, unless the model provides validated explanations.</w:t>
      </w:r>
    </w:p>
    <w:p>
      <w:pPr>
        <w:pStyle w:val="MdSpace"/>
        <w:spacing w:before="0" w:after="60"/>
      </w:pPr>
    </w:p>
    <w:p>
      <w:pPr>
        <w:pStyle w:val="MdParagraph"/>
      </w:pPr>
      <w:r>
        <w:t xml:space="preserve">Provide three prominent next actions: </w:t>
      </w:r>
      <w:r>
        <w:rPr>
          <w:rStyle w:val="MdStrong"/>
          <w:b/>
          <w:bCs/>
        </w:rPr>
        <w:t xml:space="preserve">Analyze another</w:t>
      </w:r>
      <w:r>
        <w:t xml:space="preserve">, </w:t>
      </w:r>
      <w:r>
        <w:rPr>
          <w:rStyle w:val="MdStrong"/>
          <w:b/>
          <w:bCs/>
        </w:rPr>
        <w:t xml:space="preserve">View benchmark</w:t>
      </w:r>
      <w:r>
        <w:t xml:space="preserve">, and </w:t>
      </w:r>
      <w:r>
        <w:rPr>
          <w:rStyle w:val="MdStrong"/>
          <w:b/>
          <w:bCs/>
        </w:rPr>
        <w:t xml:space="preserve">Open methodology</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Benchmark screen: </w:t>
      </w:r>
      <w:r>
        <w:rPr>
          <w:rStyle w:val="MdCode"/>
          <w:u w:val="single"/>
        </w:rPr>
        <w:t xml:space="preserve">/benchmarks</w:t>
      </w:r>
    </w:p>
    <w:p>
      <w:pPr>
        <w:pStyle w:val="MdParagraph"/>
      </w:pPr>
      <w:r>
        <w:t xml:space="preserve">The benchmark screen is the evidence surface that makes the honest-comparison story land with judges. It must compare QSVM with Logistic Regression, Random Forest, XGBoost, and RBF-SVM using the same evaluation split and the same metric definitions returned by the backend. [2]</w:t>
      </w:r>
    </w:p>
    <w:p>
      <w:pPr>
        <w:pStyle w:val="MdSpace"/>
        <w:spacing w:before="0" w:after="60"/>
      </w:pPr>
    </w:p>
    <w:p>
      <w:pPr>
        <w:pStyle w:val="MdParagraph"/>
      </w:pPr>
      <w:r>
        <w:t xml:space="preserve">Start with a summary strip containing the evaluation dataset, split identifier, number of selected features, quantum feature-map/qubit count if available, execution environment, and evaluation timestamp. Mark any unavailable metadata as </w:t>
      </w:r>
      <w:r>
        <w:rPr>
          <w:rStyle w:val="MdStrong"/>
          <w:b/>
          <w:bCs/>
        </w:rPr>
        <w:t xml:space="preserve">Not returned</w:t>
      </w:r>
      <w:r>
        <w:t xml:space="preserve">, never invent a value.</w:t>
      </w:r>
    </w:p>
    <w:p>
      <w:pPr>
        <w:pStyle w:val="MdSpace"/>
        <w:spacing w:before="0" w:after="60"/>
      </w:pPr>
    </w:p>
    <w:p>
      <w:pPr>
        <w:pStyle w:val="MdParagraph"/>
      </w:pPr>
      <w:r>
        <w:t xml:space="preserve">The main visualization should be a grouped bar chart or dot plot with:</w:t>
      </w:r>
    </w:p>
    <w:p>
      <w:pPr>
        <w:pStyle w:val="MdSpace"/>
        <w:spacing w:before="0" w:after="60"/>
      </w:pPr>
    </w:p>
    <w:p>
      <w:pPr>
        <w:pStyle w:val="MdListItem"/>
        <w:numPr>
          <w:ilvl w:val="0"/>
          <w:numId w:val="3"/>
        </w:numPr>
      </w:pPr>
      <w:r>
        <w:t xml:space="preserve">Stable model ordering: QSVM first, then the classical baselines.</w:t>
      </w:r>
    </w:p>
    <w:p>
      <w:pPr>
        <w:pStyle w:val="MdListItem"/>
        <w:numPr>
          <w:ilvl w:val="0"/>
          <w:numId w:val="3"/>
        </w:numPr>
      </w:pPr>
      <w:r>
        <w:t xml:space="preserve">A consistent metric selector for ROC-AUC, precision, recall, and F1.</w:t>
      </w:r>
    </w:p>
    <w:p>
      <w:pPr>
        <w:pStyle w:val="MdListItem"/>
        <w:numPr>
          <w:ilvl w:val="0"/>
          <w:numId w:val="3"/>
        </w:numPr>
      </w:pPr>
      <w:r>
        <w:t xml:space="preserve">A restrained accent for QSVM and neutral but distinguishable colors for classical models.</w:t>
      </w:r>
    </w:p>
    <w:p>
      <w:pPr>
        <w:pStyle w:val="MdListItem"/>
        <w:numPr>
          <w:ilvl w:val="0"/>
          <w:numId w:val="3"/>
        </w:numPr>
      </w:pPr>
      <w:r>
        <w:t xml:space="preserve">Exact values on hover and in an adjacent accessible table.</w:t>
      </w:r>
    </w:p>
    <w:p>
      <w:pPr>
        <w:pStyle w:val="MdListItem"/>
        <w:numPr>
          <w:ilvl w:val="0"/>
          <w:numId w:val="3"/>
        </w:numPr>
      </w:pPr>
      <w:r>
        <w:t xml:space="preserve">A clear zero-versus-missing distinction.</w:t>
      </w:r>
    </w:p>
    <w:p>
      <w:pPr>
        <w:pStyle w:val="MdListItem"/>
        <w:numPr>
          <w:ilvl w:val="0"/>
          <w:numId w:val="3"/>
        </w:numPr>
      </w:pPr>
      <w:r>
        <w:t xml:space="preserve">No truncated axis that visually exaggerates small differences.</w:t>
      </w:r>
    </w:p>
    <w:p>
      <w:pPr>
        <w:pStyle w:val="MdListItem"/>
        <w:numPr>
          <w:ilvl w:val="0"/>
          <w:numId w:val="3"/>
        </w:numPr>
      </w:pPr>
      <w:r>
        <w:t xml:space="preserve">A visible note that results are evaluated on an identical split.</w:t>
      </w:r>
    </w:p>
    <w:p>
      <w:pPr>
        <w:pStyle w:val="MdSpace"/>
        <w:spacing w:before="0" w:after="60"/>
      </w:pPr>
    </w:p>
    <w:p>
      <w:pPr>
        <w:pStyle w:val="MdParagraph"/>
      </w:pPr>
      <w:r>
        <w:t xml:space="preserve">The chart must be accompanied by a table with columns for model, ROC-AUC, precision, recall, F1, and availability/status. Include metric definitions in a collapsible </w:t>
      </w:r>
      <w:r>
        <w:rPr>
          <w:rStyle w:val="MdStrong"/>
          <w:b/>
          <w:bCs/>
        </w:rPr>
        <w:t xml:space="preserve">How to read this</w:t>
      </w:r>
      <w:r>
        <w:t xml:space="preserve"> panel. Explain that highly imbalanced fraud data requires attention to precision, recall, and F1 in addition to ROC-AUC; do not imply that one metric alone proves operational superiority.</w:t>
      </w:r>
    </w:p>
    <w:p>
      <w:pPr>
        <w:pStyle w:val="MdSpace"/>
        <w:spacing w:before="0" w:after="60"/>
      </w:pPr>
    </w:p>
    <w:p>
      <w:pPr>
        <w:pStyle w:val="MdParagraph"/>
      </w:pPr>
      <w:r>
        <w:t xml:space="preserve">If the backend returns a target such as “false positives below 5%,” present it as a </w:t>
      </w:r>
      <w:r>
        <w:rPr>
          <w:rStyle w:val="MdStrong"/>
          <w:b/>
          <w:bCs/>
        </w:rPr>
        <w:t xml:space="preserve">target or evaluation objective</w:t>
      </w:r>
      <w:r>
        <w:t xml:space="preserve"> unless the returned results explicitly verify it. Do not display aspirational impact as an achieved outcome.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Methodology screen: </w:t>
      </w:r>
      <w:r>
        <w:rPr>
          <w:rStyle w:val="MdCode"/>
          <w:u w:val="single"/>
        </w:rPr>
        <w:t xml:space="preserve">/methodology</w:t>
      </w:r>
    </w:p>
    <w:p>
      <w:pPr>
        <w:pStyle w:val="MdParagraph"/>
      </w:pPr>
      <w:r>
        <w:t xml:space="preserve">Make quantum computing understandable through a layered explanation. The first layer should use a five-step visual pipeline:</w:t>
      </w:r>
    </w:p>
    <w:p>
      <w:pPr>
        <w:pStyle w:val="MdSpace"/>
        <w:spacing w:before="0" w:after="60"/>
      </w:pPr>
    </w:p>
    <w:p>
      <w:pPr>
        <w:pStyle w:val="MdParagraph"/>
      </w:pPr>
      <w:r>
        <w:rPr>
          <w:rStyle w:val="MdStrong"/>
          <w:b/>
          <w:bCs/>
        </w:rPr>
        <w:t xml:space="preserve">Transaction fields → preprocessing and scaling → quantum feature map → quantum kernel / QSVM → fraud score and benchmark.</w:t>
      </w:r>
    </w:p>
    <w:p>
      <w:pPr>
        <w:pStyle w:val="MdSpace"/>
        <w:spacing w:before="0" w:after="60"/>
      </w:pPr>
    </w:p>
    <w:p>
      <w:pPr>
        <w:pStyle w:val="MdParagraph"/>
      </w:pPr>
      <w:r>
        <w:t xml:space="preserve">The second layer should explain the technical terms:</w:t>
      </w:r>
    </w:p>
    <w:p>
      <w:pPr>
        <w:pStyle w:val="MdSpace"/>
        <w:spacing w:before="0" w:after="60"/>
      </w:pPr>
    </w:p>
    <w:p>
      <w:pPr>
        <w:pStyle w:val="MdListItem"/>
        <w:numPr>
          <w:ilvl w:val="0"/>
          <w:numId w:val="3"/>
        </w:numPr>
      </w:pPr>
      <w:r>
        <w:t xml:space="preserve">The final 4–8 features are cleaned, selected, and scaled for model input.</w:t>
      </w:r>
    </w:p>
    <w:p>
      <w:pPr>
        <w:pStyle w:val="MdListItem"/>
        <w:numPr>
          <w:ilvl w:val="0"/>
          <w:numId w:val="3"/>
        </w:numPr>
      </w:pPr>
      <w:r>
        <w:t xml:space="preserve">A shallow feature map, such as a ZZFeatureMap or equivalent, encodes the feature vector.</w:t>
      </w:r>
    </w:p>
    <w:p>
      <w:pPr>
        <w:pStyle w:val="MdListItem"/>
        <w:numPr>
          <w:ilvl w:val="0"/>
          <w:numId w:val="3"/>
        </w:numPr>
      </w:pPr>
      <w:r>
        <w:t xml:space="preserve">A quantum kernel estimates similarity through a Gram matrix.</w:t>
      </w:r>
    </w:p>
    <w:p>
      <w:pPr>
        <w:pStyle w:val="MdListItem"/>
        <w:numPr>
          <w:ilvl w:val="0"/>
          <w:numId w:val="3"/>
        </w:numPr>
      </w:pPr>
      <w:r>
        <w:t xml:space="preserve">The QSVM uses that kernel to classify transactions.</w:t>
      </w:r>
    </w:p>
    <w:p>
      <w:pPr>
        <w:pStyle w:val="MdListItem"/>
        <w:numPr>
          <w:ilvl w:val="0"/>
          <w:numId w:val="3"/>
        </w:numPr>
      </w:pPr>
      <w:r>
        <w:t xml:space="preserve">Classical baselines are evaluated on the same split for a fair comparison.</w:t>
      </w:r>
    </w:p>
    <w:p>
      <w:pPr>
        <w:pStyle w:val="MdSpace"/>
        <w:spacing w:before="0" w:after="60"/>
      </w:pPr>
    </w:p>
    <w:p>
      <w:pPr>
        <w:pStyle w:val="MdParagraph"/>
      </w:pPr>
      <w:r>
        <w:t xml:space="preserve">The third layer may expose metadata cards for feature count, qubit count, repetitions, shot count, simulator/QPU, noise note, train/test split, and benchmark timestamp. Every value must be backend-provided or labeled as configured/demo metadata.</w:t>
      </w:r>
    </w:p>
    <w:p>
      <w:pPr>
        <w:pStyle w:val="MdSpace"/>
        <w:spacing w:before="0" w:after="60"/>
      </w:pPr>
    </w:p>
    <w:p>
      <w:pPr>
        <w:pStyle w:val="MdParagraph"/>
      </w:pPr>
      <w:r>
        <w:t xml:space="preserve">Include an explicit </w:t>
      </w:r>
      <w:r>
        <w:rPr>
          <w:rStyle w:val="MdStrong"/>
          <w:b/>
          <w:bCs/>
        </w:rPr>
        <w:t xml:space="preserve">Current limitation</w:t>
      </w:r>
      <w:r>
        <w:t xml:space="preserve"> callout:</w:t>
      </w:r>
    </w:p>
    <w:p>
      <w:pPr>
        <w:pStyle w:val="MdSpace"/>
        <w:spacing w:before="0" w:after="60"/>
      </w:pPr>
    </w:p>
    <w:p>
      <w:pPr>
        <w:pStyle w:val="MdBlockquote"/>
      </w:pPr>
      <w:r>
        <w:t xml:space="preserve">“This hackathon prototype tests whether a small, carefully scoped quantum-kernel classifier provides useful evidence on the selected dataset. It does not claim that current quantum hardware universally outperforms classical models.”</w:t>
      </w:r>
    </w:p>
    <w:p>
      <w:pPr>
        <w:pStyle w:val="MdSpace"/>
        <w:spacing w:before="0" w:after="60"/>
      </w:pPr>
    </w:p>
    <w:p>
      <w:pPr>
        <w:pStyle w:val="MdParagraph"/>
      </w:pPr>
      <w:r>
        <w:t xml:space="preserve">Use a circuit-like visual language only as a supporting diagram. Do not make the methodology page a decorative quantum animation with no relationship to the actual pipeline.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Overview screen: </w:t>
      </w:r>
      <w:r>
        <w:rPr>
          <w:rStyle w:val="MdCode"/>
          <w:u w:val="single"/>
        </w:rPr>
        <w:t xml:space="preserve">/</w:t>
      </w:r>
    </w:p>
    <w:p>
      <w:pPr>
        <w:pStyle w:val="MdParagraph"/>
      </w:pPr>
      <w:r>
        <w:t xml:space="preserve">The overview should be a concise command center, not a second analytics dashboard. Use a top-level product statement, one primary action, and a few high-value indicators:</w:t>
      </w:r>
    </w:p>
    <w:p>
      <w:pPr>
        <w:pStyle w:val="MdSpace"/>
        <w:spacing w:before="0" w:after="60"/>
      </w:pPr>
    </w:p>
    <w:p>
      <w:pPr>
        <w:pStyle w:val="MdListItem"/>
        <w:numPr>
          <w:ilvl w:val="0"/>
          <w:numId w:val="3"/>
        </w:numPr>
      </w:pPr>
      <w:r>
        <w:t xml:space="preserve">Current model readiness: QSVM ready, simulator-only, fallback, or unavailable.</w:t>
      </w:r>
    </w:p>
    <w:p>
      <w:pPr>
        <w:pStyle w:val="MdListItem"/>
        <w:numPr>
          <w:ilvl w:val="0"/>
          <w:numId w:val="3"/>
        </w:numPr>
      </w:pPr>
      <w:r>
        <w:t xml:space="preserve">Last benchmark update.</w:t>
      </w:r>
    </w:p>
    <w:p>
      <w:pPr>
        <w:pStyle w:val="MdListItem"/>
        <w:numPr>
          <w:ilvl w:val="0"/>
          <w:numId w:val="3"/>
        </w:numPr>
      </w:pPr>
      <w:r>
        <w:t xml:space="preserve">Current execution mode: live, mock, or cached.</w:t>
      </w:r>
    </w:p>
    <w:p>
      <w:pPr>
        <w:pStyle w:val="MdListItem"/>
        <w:numPr>
          <w:ilvl w:val="0"/>
          <w:numId w:val="3"/>
        </w:numPr>
      </w:pPr>
      <w:r>
        <w:t xml:space="preserve">Latest analyzed transaction score, if present in session state.</w:t>
      </w:r>
    </w:p>
    <w:p>
      <w:pPr>
        <w:pStyle w:val="MdListItem"/>
        <w:numPr>
          <w:ilvl w:val="0"/>
          <w:numId w:val="3"/>
        </w:numPr>
      </w:pPr>
      <w:r>
        <w:t xml:space="preserve">A compact benchmark preview showing the leading returned metric without replacing the full benchmark screen.</w:t>
      </w:r>
    </w:p>
    <w:p>
      <w:pPr>
        <w:pStyle w:val="MdListItem"/>
        <w:numPr>
          <w:ilvl w:val="0"/>
          <w:numId w:val="3"/>
        </w:numPr>
      </w:pPr>
      <w:r>
        <w:t xml:space="preserve">A short East African mobile-money context statement with no fabricated provider statistics.</w:t>
      </w:r>
    </w:p>
    <w:p>
      <w:pPr>
        <w:pStyle w:val="MdSpace"/>
        <w:spacing w:before="0" w:after="60"/>
      </w:pPr>
    </w:p>
    <w:p>
      <w:pPr>
        <w:pStyle w:val="MdParagraph"/>
      </w:pPr>
      <w:r>
        <w:t xml:space="preserve">A small “What happens next?” sequence may show the four-step workflow and guide judges toward the analyze screen.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Demo and resilience design</w:t>
      </w:r>
    </w:p>
    <w:p>
      <w:pPr>
        <w:pStyle w:val="MdParagraph"/>
      </w:pPr>
      <w:r>
        <w:t xml:space="preserve">The final demonstration must not depend on unpredictable live input. Implement a controlled demo mode with three prepared synthetic scenarios. Each scenario should contain a human-readable title, a short narrative, the exact form values, expected visual state only if verified by the backend, and a disclosure that it is synthetic.</w:t>
      </w:r>
    </w:p>
    <w:p>
      <w:pPr>
        <w:pStyle w:val="MdSpace"/>
        <w:spacing w:before="0" w:after="60"/>
      </w:pPr>
    </w:p>
    <w:p>
      <w:pPr>
        <w:pStyle w:val="MdParagraph"/>
      </w:pPr>
      <w:r>
        <w:t xml:space="preserve">Support the following execution modes: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Mode</w:t>
            </w:r>
          </w:p>
        </w:tc>
        <w:tc>
          <w:tcPr>
            <w:tcMar>
              <w:top w:type="dxa" w:w="100"/>
              <w:left w:type="dxa" w:w="120"/>
              <w:bottom w:type="dxa" w:w="100"/>
              <w:right w:type="dxa" w:w="120"/>
            </w:tcMar>
            <w:vAlign w:val="center"/>
          </w:tcPr>
          <w:p>
            <w:pPr>
              <w:pStyle w:val="MdTableHeader"/>
            </w:pPr>
            <w:r>
              <w:t xml:space="preserve">Visual treatment</w:t>
            </w:r>
          </w:p>
        </w:tc>
        <w:tc>
          <w:tcPr>
            <w:tcBorders>
              <w:right w:val="none"/>
            </w:tcBorders>
            <w:tcMar>
              <w:top w:type="dxa" w:w="100"/>
              <w:left w:type="dxa" w:w="120"/>
              <w:bottom w:type="dxa" w:w="100"/>
              <w:right w:type="dxa" w:w="120"/>
            </w:tcMar>
            <w:vAlign w:val="center"/>
          </w:tcPr>
          <w:p>
            <w:pPr>
              <w:pStyle w:val="MdTableHeader"/>
            </w:pPr>
            <w:r>
              <w:t xml:space="preserve">Permitted 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Live</w:t>
            </w:r>
          </w:p>
        </w:tc>
        <w:tc>
          <w:tcPr>
            <w:tcMar>
              <w:top w:type="dxa" w:w="80"/>
              <w:left w:type="dxa" w:w="120"/>
              <w:bottom w:type="dxa" w:w="80"/>
              <w:right w:type="dxa" w:w="120"/>
            </w:tcMar>
            <w:vAlign w:val="center"/>
          </w:tcPr>
          <w:p>
            <w:pPr>
              <w:pStyle w:val="MdTableCell"/>
            </w:pPr>
            <w:r>
              <w:t xml:space="preserve">Green/teal connected badge and live timestamp.</w:t>
            </w:r>
          </w:p>
        </w:tc>
        <w:tc>
          <w:tcPr>
            <w:tcBorders>
              <w:right w:val="none"/>
            </w:tcBorders>
            <w:tcMar>
              <w:top w:type="dxa" w:w="80"/>
              <w:left w:type="dxa" w:w="120"/>
              <w:bottom w:type="dxa" w:w="80"/>
              <w:right w:type="dxa" w:w="120"/>
            </w:tcMar>
            <w:vAlign w:val="center"/>
          </w:tcPr>
          <w:p>
            <w:pPr>
              <w:pStyle w:val="MdTableCell"/>
            </w:pPr>
            <w:r>
              <w:t xml:space="preserve">Use current backend response.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Mock</w:t>
            </w:r>
          </w:p>
        </w:tc>
        <w:tc>
          <w:tcPr>
            <w:tcMar>
              <w:top w:type="dxa" w:w="80"/>
              <w:left w:type="dxa" w:w="120"/>
              <w:bottom w:type="dxa" w:w="80"/>
              <w:right w:type="dxa" w:w="120"/>
            </w:tcMar>
            <w:vAlign w:val="center"/>
          </w:tcPr>
          <w:p>
            <w:pPr>
              <w:pStyle w:val="MdTableCell"/>
            </w:pPr>
            <w:r>
              <w:t xml:space="preserve">Amber “Mock response” badge.</w:t>
            </w:r>
          </w:p>
        </w:tc>
        <w:tc>
          <w:tcPr>
            <w:tcBorders>
              <w:right w:val="none"/>
            </w:tcBorders>
            <w:tcMar>
              <w:top w:type="dxa" w:w="80"/>
              <w:left w:type="dxa" w:w="120"/>
              <w:bottom w:type="dxa" w:w="80"/>
              <w:right w:type="dxa" w:w="120"/>
            </w:tcMar>
            <w:vAlign w:val="center"/>
          </w:tcPr>
          <w:p>
            <w:pPr>
              <w:pStyle w:val="MdTableCell"/>
            </w:pPr>
            <w:r>
              <w:t xml:space="preserve">Use deterministic local fixture for UI rehearsal.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Cached</w:t>
            </w:r>
          </w:p>
        </w:tc>
        <w:tc>
          <w:tcPr>
            <w:tcMar>
              <w:top w:type="dxa" w:w="80"/>
              <w:left w:type="dxa" w:w="120"/>
              <w:bottom w:type="dxa" w:w="80"/>
              <w:right w:type="dxa" w:w="120"/>
            </w:tcMar>
            <w:vAlign w:val="center"/>
          </w:tcPr>
          <w:p>
            <w:pPr>
              <w:pStyle w:val="MdTableCell"/>
            </w:pPr>
            <w:r>
              <w:t xml:space="preserve">Slate “Cached benchmark” badge with timestamp.</w:t>
            </w:r>
          </w:p>
        </w:tc>
        <w:tc>
          <w:tcPr>
            <w:tcBorders>
              <w:right w:val="none"/>
            </w:tcBorders>
            <w:tcMar>
              <w:top w:type="dxa" w:w="80"/>
              <w:left w:type="dxa" w:w="120"/>
              <w:bottom w:type="dxa" w:w="80"/>
              <w:right w:type="dxa" w:w="120"/>
            </w:tcMar>
            <w:vAlign w:val="center"/>
          </w:tcPr>
          <w:p>
            <w:pPr>
              <w:pStyle w:val="MdTableCell"/>
            </w:pPr>
            <w:r>
              <w:t xml:space="preserve">Show a saved benchmark snapshot when endpoint is unavailable.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Fallback</w:t>
            </w:r>
          </w:p>
        </w:tc>
        <w:tc>
          <w:tcPr>
            <w:tcMar>
              <w:top w:type="dxa" w:w="80"/>
              <w:left w:type="dxa" w:w="120"/>
              <w:bottom w:type="dxa" w:w="80"/>
              <w:right w:type="dxa" w:w="120"/>
            </w:tcMar>
            <w:vAlign w:val="center"/>
          </w:tcPr>
          <w:p>
            <w:pPr>
              <w:pStyle w:val="MdTableCell"/>
            </w:pPr>
            <w:r>
              <w:t xml:space="preserve">Amber/red warning with explanation.</w:t>
            </w:r>
          </w:p>
        </w:tc>
        <w:tc>
          <w:tcPr>
            <w:tcBorders>
              <w:right w:val="none"/>
            </w:tcBorders>
            <w:tcMar>
              <w:top w:type="dxa" w:w="80"/>
              <w:left w:type="dxa" w:w="120"/>
              <w:bottom w:type="dxa" w:w="80"/>
              <w:right w:type="dxa" w:w="120"/>
            </w:tcMar>
            <w:vAlign w:val="center"/>
          </w:tcPr>
          <w:p>
            <w:pPr>
              <w:pStyle w:val="MdTableCell"/>
            </w:pPr>
            <w:r>
              <w:t xml:space="preserve">Preserve the narrative, but never disguise fallback data as live.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Unavailable</w:t>
            </w:r>
          </w:p>
        </w:tc>
        <w:tc>
          <w:tcPr>
            <w:tcBorders>
              <w:bottom w:val="single" w:color="E1E4E8" w:sz="4"/>
            </w:tcBorders>
            <w:tcMar>
              <w:top w:type="dxa" w:w="80"/>
              <w:left w:type="dxa" w:w="120"/>
              <w:bottom w:type="dxa" w:w="80"/>
              <w:right w:type="dxa" w:w="120"/>
            </w:tcMar>
            <w:vAlign w:val="center"/>
          </w:tcPr>
          <w:p>
            <w:pPr>
              <w:pStyle w:val="MdTableCell"/>
            </w:pPr>
            <w:r>
              <w:t xml:space="preserve">Clear inline error and retry action.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Do not render fabricated scores or empty chart bars as zeros.</w:t>
            </w:r>
          </w:p>
        </w:tc>
      </w:tr>
    </w:tbl>
    <w:p>
      <w:pPr>
        <w:pStyle w:val="MdParagraph"/>
      </w:pPr>
      <w:r>
        <w:t xml:space="preserve">Use deterministic fixtures for rehearsals so the presenter can reliably demonstrate a low-risk case, a high-risk case, and the benchmark view. A fallback should preserve the story but explicitly state </w:t>
      </w:r>
      <w:r>
        <w:rPr>
          <w:rStyle w:val="MdStrong"/>
          <w:b/>
          <w:bCs/>
        </w:rPr>
        <w:t xml:space="preserve">“This is a prepared demonstration snapshot; no live prediction was completed.”</w:t>
      </w:r>
    </w:p>
    <w:p>
      <w:pPr>
        <w:pStyle w:val="MdSpace"/>
        <w:spacing w:before="0" w:after="60"/>
      </w:pPr>
    </w:p>
    <w:p>
      <w:pPr>
        <w:pStyle w:val="MdParagraph"/>
      </w:pPr>
      <w:r>
        <w:t xml:space="preserve">Handle validation errors inline, use Sonner for concise non-blocking notifications, and show a useful recovery action for network errors, timeouts, malformed responses, and unavailable benchmarks. Do not expose stack traces, API keys, model internals, or raw server errors.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Frontend technical architecture</w:t>
      </w:r>
    </w:p>
    <w:p>
      <w:pPr>
        <w:pStyle w:val="MdParagraph"/>
      </w:pPr>
      <w:r>
        <w:t xml:space="preserve">Implement the frontend as a maintainable React application using the supplied static template: React 19, TypeScript, Tailwind 4, shadcn/ui, Wouter, Lucide icons, Recharts, and CSS-variable theming. Use the following conceptual structure: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client/src/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Overview.tsx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Analyze.tsx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Benchmarks.tsx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Methodology.tsx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Demo.tsx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NotFound.tsx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components/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AppShell.tsx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Sidebar.tsx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MobileNav.tsx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SystemStatus.tsx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TransactionForm.tsx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SampleScenarioPicker.tsx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AnalysisState.tsx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FraudScoreCard.tsx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TransactionSummary.tsx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BenchmarkChart.tsx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BenchmarkTable.tsx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MethodologyPipeline.tsx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ProvenancePanel.tsx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EmptyState.tsx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ErrorState.tsx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contexts/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ThemeContext.tsx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DemoContext.tsx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hooks/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useAnalyzeTransaction.ts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useBenchmarkResults.ts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useDemoMode.ts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useMediaQuery.ts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lib/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apiClient.ts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schemas.ts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types.ts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mockFixtures.ts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riskBands.ts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chartTransforms.ts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formatters.ts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constants.ts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main.tsx</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index.css</w:t>
      </w:r>
    </w:p>
    <w:p>
      <w:pPr>
        <w:pStyle w:val="MdSpace"/>
        <w:spacing w:before="0" w:after="60"/>
      </w:pPr>
    </w:p>
    <w:p>
      <w:pPr>
        <w:pStyle w:val="MdParagraph"/>
      </w:pPr>
      <w:r>
        <w:t xml:space="preserve">Keep domain models separate from visual components. Define typed interfaces or schemas for: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TransactionFieldDefinition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"select"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unit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required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options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label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description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AnalyzeRequest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transaction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Record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AnalyzeResponse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fraud_score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model_used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execution_mode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"cached"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"fallback"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risk_band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transaction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Record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Record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request_id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BenchmarkRow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roc_auc</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precision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recall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"available"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"unavailable"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Create one API client abstraction with interchangeable live and mock implementations. Components should not call </w:t>
      </w:r>
      <w:r>
        <w:rPr>
          <w:rStyle w:val="MdCode"/>
          <w:u w:val="single"/>
        </w:rPr>
        <w:t xml:space="preserve">fetch</w:t>
      </w:r>
      <w:r>
        <w:t xml:space="preserve"> directly. Validate both requests and responses at the boundary, normalize errors into a small frontend error model, and prevent stale responses from overwriting a newer analysis. Stabilize query inputs and object references to avoid accidental infinite refetch loops. [5]</w:t>
      </w:r>
    </w:p>
    <w:p>
      <w:pPr>
        <w:pStyle w:val="MdSpace"/>
        <w:spacing w:before="0" w:after="60"/>
      </w:pPr>
    </w:p>
    <w:p>
      <w:pPr>
        <w:pStyle w:val="MdParagraph"/>
      </w:pPr>
      <w:r>
        <w:t xml:space="preserve">Do not place credentials, private endpoints, model artifacts, or secrets in frontend code. The frontend may display non-sensitive metadata but must never expose backend keys or quantum-provider credentials.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API behavior and integration contract</w:t>
      </w:r>
    </w:p>
    <w:p>
      <w:pPr>
        <w:pStyle w:val="MdParagraph"/>
      </w:pPr>
      <w:r>
        <w:t xml:space="preserve">Use replaceable, versioned endpoint placeholders until the Backend team confirms exact routes. The implementation should be compatible with a contract such as: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/api/v1/analyze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Content-Type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application/json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"transaction"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"feature_a"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"feature_b"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"feature_c"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9000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"fraud_score"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0.83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"model_used"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"qsvm"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"execution_mode"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"risk_band"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"review"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"benchmark_table"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"qsvm"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"roc_auc"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0.91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"precision"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0.42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"recall"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0.78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0.55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"available"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"metadata"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"PaySim1"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"feature_count"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"qubit_count"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"execution_backend"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"qbraid simulator"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"request_id"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"demo-request-001"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"timestamp"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"2026-09-03T10:30:00Z"</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 exact sample values above are illustrative contract examples only; do not present them as measured project results. The frontend must tolerate optional fields, preserve unknown model names safely, and render missing metrics as </w:t>
      </w:r>
      <w:r>
        <w:rPr>
          <w:rStyle w:val="MdStrong"/>
          <w:b/>
          <w:bCs/>
        </w:rPr>
        <w:t xml:space="preserve">Not available</w:t>
      </w:r>
      <w:r>
        <w:t xml:space="preserve">. A backend fallback model must be disclosed through </w:t>
      </w:r>
      <w:r>
        <w:rPr>
          <w:rStyle w:val="MdCode"/>
          <w:u w:val="single"/>
        </w:rPr>
        <w:t xml:space="preserve">model_used</w:t>
      </w:r>
      <w:r>
        <w:t xml:space="preserve"> and </w:t>
      </w:r>
      <w:r>
        <w:rPr>
          <w:rStyle w:val="MdCode"/>
          <w:u w:val="single"/>
        </w:rPr>
        <w:t xml:space="preserve">execution_mode</w:t>
      </w:r>
      <w:r>
        <w:t xml:space="preserve">; the frontend must not silently relabel it as QSVM.</w:t>
      </w:r>
    </w:p>
    <w:p>
      <w:pPr>
        <w:pStyle w:val="MdSpace"/>
        <w:spacing w:before="0" w:after="60"/>
      </w:pPr>
    </w:p>
    <w:p>
      <w:pPr>
        <w:pStyle w:val="MdParagraph"/>
      </w:pPr>
      <w:r>
        <w:t xml:space="preserve">Implement timeouts, cancellation where supported, bounded retries for safe idempotent operations, and a user-visible retry action. Do not automatically resubmit an analysis in a way that could create duplicate backend records. Display a request ID only as a debugging/provenance aid, never as a customer identifier.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Security, privacy, and responsible AI UX</w:t>
      </w:r>
    </w:p>
    <w:p>
      <w:pPr>
        <w:pStyle w:val="MdParagraph"/>
      </w:pPr>
      <w:r>
        <w:t xml:space="preserve">Treat every transaction value as sensitive even when the hackathon datasets are synthetic. The frontend must:</w:t>
      </w:r>
    </w:p>
    <w:p>
      <w:pPr>
        <w:pStyle w:val="MdSpace"/>
        <w:spacing w:before="0" w:after="60"/>
      </w:pPr>
    </w:p>
    <w:p>
      <w:pPr>
        <w:pStyle w:val="MdListItem"/>
        <w:numPr>
          <w:ilvl w:val="0"/>
          <w:numId w:val="3"/>
        </w:numPr>
      </w:pPr>
      <w:r>
        <w:t xml:space="preserve">Use only synthetic or anonymized demo values.</w:t>
      </w:r>
    </w:p>
    <w:p>
      <w:pPr>
        <w:pStyle w:val="MdListItem"/>
        <w:numPr>
          <w:ilvl w:val="0"/>
          <w:numId w:val="3"/>
        </w:numPr>
      </w:pPr>
      <w:r>
        <w:t xml:space="preserve">Avoid collecting or displaying real phone numbers, account names, account IDs, or personally identifying information.</w:t>
      </w:r>
    </w:p>
    <w:p>
      <w:pPr>
        <w:pStyle w:val="MdListItem"/>
        <w:numPr>
          <w:ilvl w:val="0"/>
          <w:numId w:val="3"/>
        </w:numPr>
      </w:pPr>
      <w:r>
        <w:t xml:space="preserve">Avoid local persistence of submitted transactions by default.</w:t>
      </w:r>
    </w:p>
    <w:p>
      <w:pPr>
        <w:pStyle w:val="MdListItem"/>
        <w:numPr>
          <w:ilvl w:val="0"/>
          <w:numId w:val="3"/>
        </w:numPr>
      </w:pPr>
      <w:r>
        <w:t xml:space="preserve">Avoid sending unnecessary fields to the backend.</w:t>
      </w:r>
    </w:p>
    <w:p>
      <w:pPr>
        <w:pStyle w:val="MdListItem"/>
        <w:numPr>
          <w:ilvl w:val="0"/>
          <w:numId w:val="3"/>
        </w:numPr>
      </w:pPr>
      <w:r>
        <w:t xml:space="preserve">Escape or safely render all server-returned strings.</w:t>
      </w:r>
    </w:p>
    <w:p>
      <w:pPr>
        <w:pStyle w:val="MdListItem"/>
        <w:numPr>
          <w:ilvl w:val="0"/>
          <w:numId w:val="3"/>
        </w:numPr>
      </w:pPr>
      <w:r>
        <w:t xml:space="preserve">Avoid putting sensitive values in URLs, browser titles, logs, analytics payloads, or error messages.</w:t>
      </w:r>
    </w:p>
    <w:p>
      <w:pPr>
        <w:pStyle w:val="MdListItem"/>
        <w:numPr>
          <w:ilvl w:val="0"/>
          <w:numId w:val="3"/>
        </w:numPr>
      </w:pPr>
      <w:r>
        <w:t xml:space="preserve">Use HTTPS in deployment and keep all secrets server-side.</w:t>
      </w:r>
    </w:p>
    <w:p>
      <w:pPr>
        <w:pStyle w:val="MdListItem"/>
        <w:numPr>
          <w:ilvl w:val="0"/>
          <w:numId w:val="3"/>
        </w:numPr>
      </w:pPr>
      <w:r>
        <w:t xml:space="preserve">Show a short prototype disclaimer near the score and in the footer.</w:t>
      </w:r>
    </w:p>
    <w:p>
      <w:pPr>
        <w:pStyle w:val="MdListItem"/>
        <w:numPr>
          <w:ilvl w:val="0"/>
          <w:numId w:val="3"/>
        </w:numPr>
      </w:pPr>
      <w:r>
        <w:t xml:space="preserve">Use “review recommended” language rather than automatic block, freeze, or accuse actions.</w:t>
      </w:r>
    </w:p>
    <w:p>
      <w:pPr>
        <w:pStyle w:val="MdListItem"/>
        <w:numPr>
          <w:ilvl w:val="0"/>
          <w:numId w:val="3"/>
        </w:numPr>
      </w:pPr>
      <w:r>
        <w:t xml:space="preserve">Never fabricate explainability. If no attribution data is returned, label the section as transaction context or input context.</w:t>
      </w:r>
    </w:p>
    <w:p>
      <w:pPr>
        <w:pStyle w:val="MdListItem"/>
        <w:numPr>
          <w:ilvl w:val="0"/>
          <w:numId w:val="3"/>
        </w:numPr>
      </w:pPr>
      <w:r>
        <w:t xml:space="preserve">Never imply that a high score is proof of criminal activity.</w:t>
      </w:r>
    </w:p>
    <w:p>
      <w:pPr>
        <w:pStyle w:val="MdSpace"/>
        <w:spacing w:before="0" w:after="60"/>
      </w:pPr>
    </w:p>
    <w:p>
      <w:pPr>
        <w:pStyle w:val="MdParagraph"/>
      </w:pPr>
      <w:r>
        <w:t xml:space="preserve">The frontend is a decision-support surface. Any production version would require additional calibration, fairness evaluation, governance, auditability, human review, and regulatory controls; the hackathon interface should acknowledge this boundary without overwhelming the demo.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Accessibility and responsive quality bar</w:t>
      </w:r>
    </w:p>
    <w:p>
      <w:pPr>
        <w:pStyle w:val="MdParagraph"/>
      </w:pPr>
      <w:r>
        <w:t xml:space="preserve">Meet a high accessibility standard for the full analyze and benchmark flows. Use semantic landmarks, properly associated labels, logical heading hierarchy, keyboard-reachable controls, visible focus rings, accessible dialogs, sufficient contrast, and non-color status encoding. Every chart must have a concise text summary and an adjacent data table.</w:t>
      </w:r>
    </w:p>
    <w:p>
      <w:pPr>
        <w:pStyle w:val="MdSpace"/>
        <w:spacing w:before="0" w:after="60"/>
      </w:pPr>
    </w:p>
    <w:p>
      <w:pPr>
        <w:pStyle w:val="MdParagraph"/>
      </w:pPr>
      <w:r>
        <w:t xml:space="preserve">Ensure that:</w:t>
      </w:r>
    </w:p>
    <w:p>
      <w:pPr>
        <w:pStyle w:val="MdSpace"/>
        <w:spacing w:before="0" w:after="60"/>
      </w:pPr>
    </w:p>
    <w:p>
      <w:pPr>
        <w:pStyle w:val="MdListItem"/>
        <w:numPr>
          <w:ilvl w:val="0"/>
          <w:numId w:val="3"/>
        </w:numPr>
      </w:pPr>
      <w:r>
        <w:t xml:space="preserve">The main score is understandable to screen readers.</w:t>
      </w:r>
    </w:p>
    <w:p>
      <w:pPr>
        <w:pStyle w:val="MdListItem"/>
        <w:numPr>
          <w:ilvl w:val="0"/>
          <w:numId w:val="3"/>
        </w:numPr>
      </w:pPr>
      <w:r>
        <w:t xml:space="preserve">Loading and error changes are announced through appropriate live regions.</w:t>
      </w:r>
    </w:p>
    <w:p>
      <w:pPr>
        <w:pStyle w:val="MdListItem"/>
        <w:numPr>
          <w:ilvl w:val="0"/>
          <w:numId w:val="3"/>
        </w:numPr>
      </w:pPr>
      <w:r>
        <w:t xml:space="preserve">Focus moves predictably into dialogs and returns to the triggering control.</w:t>
      </w:r>
    </w:p>
    <w:p>
      <w:pPr>
        <w:pStyle w:val="MdListItem"/>
        <w:numPr>
          <w:ilvl w:val="0"/>
          <w:numId w:val="3"/>
        </w:numPr>
      </w:pPr>
      <w:r>
        <w:t xml:space="preserve">Keyboard users can load a sample, submit a form, inspect the table, and navigate routes.</w:t>
      </w:r>
    </w:p>
    <w:p>
      <w:pPr>
        <w:pStyle w:val="MdListItem"/>
        <w:numPr>
          <w:ilvl w:val="0"/>
          <w:numId w:val="3"/>
        </w:numPr>
      </w:pPr>
      <w:r>
        <w:t xml:space="preserve">Touch targets are comfortably sized.</w:t>
      </w:r>
    </w:p>
    <w:p>
      <w:pPr>
        <w:pStyle w:val="MdListItem"/>
        <w:numPr>
          <w:ilvl w:val="0"/>
          <w:numId w:val="3"/>
        </w:numPr>
      </w:pPr>
      <w:r>
        <w:t xml:space="preserve">Charts remain useful when hover is unavailable.</w:t>
      </w:r>
    </w:p>
    <w:p>
      <w:pPr>
        <w:pStyle w:val="MdListItem"/>
        <w:numPr>
          <w:ilvl w:val="0"/>
          <w:numId w:val="3"/>
        </w:numPr>
      </w:pPr>
      <w:r>
        <w:t xml:space="preserve">Mobile layouts do not require horizontal scrolling.</w:t>
      </w:r>
    </w:p>
    <w:p>
      <w:pPr>
        <w:pStyle w:val="MdListItem"/>
        <w:numPr>
          <w:ilvl w:val="0"/>
          <w:numId w:val="3"/>
        </w:numPr>
      </w:pPr>
      <w:r>
        <w:t xml:space="preserve">The projected desktop layout keeps the fraud score and benchmark conclusion visually dominant.</w:t>
      </w:r>
    </w:p>
    <w:p>
      <w:pPr>
        <w:pStyle w:val="MdListItem"/>
        <w:numPr>
          <w:ilvl w:val="0"/>
          <w:numId w:val="3"/>
        </w:numPr>
      </w:pPr>
      <w:r>
        <w:t xml:space="preserve">Reduced-motion users receive an equivalent non-animated experience.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16. Implementation sequence</w:t>
      </w:r>
    </w:p>
    <w:p>
      <w:pPr>
        <w:pStyle w:val="MdParagraph"/>
      </w:pPr>
      <w:r>
        <w:t xml:space="preserve">Execute the frontend in this order so integration risk is minimized:</w:t>
      </w:r>
    </w:p>
    <w:p>
      <w:pPr>
        <w:pStyle w:val="MdSpace"/>
        <w:spacing w:before="0" w:after="60"/>
      </w:pPr>
    </w:p>
    <w:p>
      <w:pPr>
        <w:pStyle w:val="MdListItem"/>
        <w:numPr>
          <w:ilvl w:val="0"/>
          <w:numId w:val="2"/>
        </w:numPr>
      </w:pPr>
      <w:r>
        <w:t xml:space="preserve">Confirm the final 4–8 feature schema and API contract with Data/ML and Backend.</w:t>
      </w:r>
    </w:p>
    <w:p>
      <w:pPr>
        <w:pStyle w:val="MdListItem"/>
        <w:numPr>
          <w:ilvl w:val="0"/>
          <w:numId w:val="2"/>
        </w:numPr>
      </w:pPr>
      <w:r>
        <w:t xml:space="preserve">Create global design tokens, typography, theme, shell, routes, and responsive navigation.</w:t>
      </w:r>
    </w:p>
    <w:p>
      <w:pPr>
        <w:pStyle w:val="MdListItem"/>
        <w:numPr>
          <w:ilvl w:val="0"/>
          <w:numId w:val="2"/>
        </w:numPr>
      </w:pPr>
      <w:r>
        <w:t xml:space="preserve">Build the schema-driven transaction form and deterministic mock responses.</w:t>
      </w:r>
    </w:p>
    <w:p>
      <w:pPr>
        <w:pStyle w:val="MdListItem"/>
        <w:numPr>
          <w:ilvl w:val="0"/>
          <w:numId w:val="2"/>
        </w:numPr>
      </w:pPr>
      <w:r>
        <w:t xml:space="preserve">Build the result panel with score, model identity, execution mode, transaction summary, and recovery states.</w:t>
      </w:r>
    </w:p>
    <w:p>
      <w:pPr>
        <w:pStyle w:val="MdListItem"/>
        <w:numPr>
          <w:ilvl w:val="0"/>
          <w:numId w:val="2"/>
        </w:numPr>
      </w:pPr>
      <w:r>
        <w:t xml:space="preserve">Build the benchmark chart plus accessible table and metric definitions.</w:t>
      </w:r>
    </w:p>
    <w:p>
      <w:pPr>
        <w:pStyle w:val="MdListItem"/>
        <w:numPr>
          <w:ilvl w:val="0"/>
          <w:numId w:val="2"/>
        </w:numPr>
      </w:pPr>
      <w:r>
        <w:t xml:space="preserve">Build the methodology and provenance surfaces.</w:t>
      </w:r>
    </w:p>
    <w:p>
      <w:pPr>
        <w:pStyle w:val="MdListItem"/>
        <w:numPr>
          <w:ilvl w:val="0"/>
          <w:numId w:val="2"/>
        </w:numPr>
      </w:pPr>
      <w:r>
        <w:t xml:space="preserve">Add prepared scenarios and demo mode with explicit live/mock/cached labels.</w:t>
      </w:r>
    </w:p>
    <w:p>
      <w:pPr>
        <w:pStyle w:val="MdListItem"/>
        <w:numPr>
          <w:ilvl w:val="0"/>
          <w:numId w:val="2"/>
        </w:numPr>
      </w:pPr>
      <w:r>
        <w:t xml:space="preserve">Replace mock calls with real backend calls and validate request/response behavior.</w:t>
      </w:r>
    </w:p>
    <w:p>
      <w:pPr>
        <w:pStyle w:val="MdListItem"/>
        <w:numPr>
          <w:ilvl w:val="0"/>
          <w:numId w:val="2"/>
        </w:numPr>
      </w:pPr>
      <w:r>
        <w:t xml:space="preserve">Complete end-to-end integration testing using real calls, not only mocks.</w:t>
      </w:r>
    </w:p>
    <w:p>
      <w:pPr>
        <w:pStyle w:val="MdListItem"/>
        <w:numPr>
          <w:ilvl w:val="0"/>
          <w:numId w:val="2"/>
        </w:numPr>
      </w:pPr>
      <w:r>
        <w:t xml:space="preserve">Polish projected readability, remove dead states, verify every action, and rehearse the entire click-through.</w:t>
      </w:r>
    </w:p>
    <w:p>
      <w:pPr>
        <w:pStyle w:val="MdSpace"/>
        <w:spacing w:before="0" w:after="60"/>
      </w:pPr>
    </w:p>
    <w:p>
      <w:pPr>
        <w:pStyle w:val="MdParagraph"/>
      </w:pPr>
      <w:r>
        <w:t xml:space="preserve">This sequence aligns with the team tracker: wireframe and API contract first, UI shell next, backend wiring during Day 2, benchmark visualization after benchmark availability, integration testing before final polish, and rehearsal before the final demonstration. [2]</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17. Acceptance criteria</w:t>
      </w:r>
    </w:p>
    <w:p>
      <w:pPr>
        <w:pStyle w:val="MdParagraph"/>
      </w:pPr>
      <w:r>
        <w:t xml:space="preserve">The implementation is complete only when all of the following are true: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Category</w:t>
            </w:r>
          </w:p>
        </w:tc>
        <w:tc>
          <w:tcPr>
            <w:tcBorders>
              <w:right w:val="none"/>
            </w:tcBorders>
            <w:tcMar>
              <w:top w:type="dxa" w:w="100"/>
              <w:left w:type="dxa" w:w="120"/>
              <w:bottom w:type="dxa" w:w="100"/>
              <w:right w:type="dxa" w:w="120"/>
            </w:tcMar>
            <w:vAlign w:val="center"/>
          </w:tcPr>
          <w:p>
            <w:pPr>
              <w:pStyle w:val="MdTableHeader"/>
            </w:pPr>
            <w:r>
              <w:t xml:space="preserve">Acceptance condition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Core flow</w:t>
            </w:r>
          </w:p>
        </w:tc>
        <w:tc>
          <w:tcPr>
            <w:tcBorders>
              <w:right w:val="none"/>
            </w:tcBorders>
            <w:tcMar>
              <w:top w:type="dxa" w:w="80"/>
              <w:left w:type="dxa" w:w="120"/>
              <w:bottom w:type="dxa" w:w="80"/>
              <w:right w:type="dxa" w:w="120"/>
            </w:tcMar>
            <w:vAlign w:val="center"/>
          </w:tcPr>
          <w:p>
            <w:pPr>
              <w:pStyle w:val="MdTableCell"/>
            </w:pPr>
            <w:r>
              <w:t xml:space="preserve">A presenter can load a prepared transaction, submit it, view the score, see the model used, and navigate to benchmarks without dead ends.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Schema</w:t>
            </w:r>
          </w:p>
        </w:tc>
        <w:tc>
          <w:tcPr>
            <w:tcBorders>
              <w:right w:val="none"/>
            </w:tcBorders>
            <w:tcMar>
              <w:top w:type="dxa" w:w="80"/>
              <w:left w:type="dxa" w:w="120"/>
              <w:bottom w:type="dxa" w:w="80"/>
              <w:right w:type="dxa" w:w="120"/>
            </w:tcMar>
            <w:vAlign w:val="center"/>
          </w:tcPr>
          <w:p>
            <w:pPr>
              <w:pStyle w:val="MdTableCell"/>
            </w:pPr>
            <w:r>
              <w:t xml:space="preserve">The form is generated from the agreed final feature schema and does not silently send unsupported fields.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Honesty</w:t>
            </w:r>
          </w:p>
        </w:tc>
        <w:tc>
          <w:tcPr>
            <w:tcBorders>
              <w:right w:val="none"/>
            </w:tcBorders>
            <w:tcMar>
              <w:top w:type="dxa" w:w="80"/>
              <w:left w:type="dxa" w:w="120"/>
              <w:bottom w:type="dxa" w:w="80"/>
              <w:right w:type="dxa" w:w="120"/>
            </w:tcMar>
            <w:vAlign w:val="center"/>
          </w:tcPr>
          <w:p>
            <w:pPr>
              <w:pStyle w:val="MdTableCell"/>
            </w:pPr>
            <w:r>
              <w:t xml:space="preserve">QSVM, classical models, simulator/QPU, live/mock/cached states, and unavailable metrics are accurately labeled.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Benchmark</w:t>
            </w:r>
          </w:p>
        </w:tc>
        <w:tc>
          <w:tcPr>
            <w:tcBorders>
              <w:right w:val="none"/>
            </w:tcBorders>
            <w:tcMar>
              <w:top w:type="dxa" w:w="80"/>
              <w:left w:type="dxa" w:w="120"/>
              <w:bottom w:type="dxa" w:w="80"/>
              <w:right w:type="dxa" w:w="120"/>
            </w:tcMar>
            <w:vAlign w:val="center"/>
          </w:tcPr>
          <w:p>
            <w:pPr>
              <w:pStyle w:val="MdTableCell"/>
            </w:pPr>
            <w:r>
              <w:t xml:space="preserve">QSVM is compared with Logistic Regression, Random Forest, XGBoost, and RBF-SVM when returned, using ROC-AUC, precision, recall, and F1.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Visualization</w:t>
            </w:r>
          </w:p>
        </w:tc>
        <w:tc>
          <w:tcPr>
            <w:tcBorders>
              <w:right w:val="none"/>
            </w:tcBorders>
            <w:tcMar>
              <w:top w:type="dxa" w:w="80"/>
              <w:left w:type="dxa" w:w="120"/>
              <w:bottom w:type="dxa" w:w="80"/>
              <w:right w:type="dxa" w:w="120"/>
            </w:tcMar>
            <w:vAlign w:val="center"/>
          </w:tcPr>
          <w:p>
            <w:pPr>
              <w:pStyle w:val="MdTableCell"/>
            </w:pPr>
            <w:r>
              <w:t xml:space="preserve">Every chart has an accessible table, stable model ordering, correct missing-value handling, and non-misleading axes.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Resilience</w:t>
            </w:r>
          </w:p>
        </w:tc>
        <w:tc>
          <w:tcPr>
            <w:tcBorders>
              <w:right w:val="none"/>
            </w:tcBorders>
            <w:tcMar>
              <w:top w:type="dxa" w:w="80"/>
              <w:left w:type="dxa" w:w="120"/>
              <w:bottom w:type="dxa" w:w="80"/>
              <w:right w:type="dxa" w:w="120"/>
            </w:tcMar>
            <w:vAlign w:val="center"/>
          </w:tcPr>
          <w:p>
            <w:pPr>
              <w:pStyle w:val="MdTableCell"/>
            </w:pPr>
            <w:r>
              <w:t xml:space="preserve">Validation errors, timeouts, network failures, malformed responses, unavailable benchmarks, and backend fallback are understandable and recoverable.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Privacy</w:t>
            </w:r>
          </w:p>
        </w:tc>
        <w:tc>
          <w:tcPr>
            <w:tcBorders>
              <w:right w:val="none"/>
            </w:tcBorders>
            <w:tcMar>
              <w:top w:type="dxa" w:w="80"/>
              <w:left w:type="dxa" w:w="120"/>
              <w:bottom w:type="dxa" w:w="80"/>
              <w:right w:type="dxa" w:w="120"/>
            </w:tcMar>
            <w:vAlign w:val="center"/>
          </w:tcPr>
          <w:p>
            <w:pPr>
              <w:pStyle w:val="MdTableCell"/>
            </w:pPr>
            <w:r>
              <w:t xml:space="preserve">No real customer data is requested, persisted, or exposed in the demo interface.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Accessibility</w:t>
            </w:r>
          </w:p>
        </w:tc>
        <w:tc>
          <w:tcPr>
            <w:tcBorders>
              <w:right w:val="none"/>
            </w:tcBorders>
            <w:tcMar>
              <w:top w:type="dxa" w:w="80"/>
              <w:left w:type="dxa" w:w="120"/>
              <w:bottom w:type="dxa" w:w="80"/>
              <w:right w:type="dxa" w:w="120"/>
            </w:tcMar>
            <w:vAlign w:val="center"/>
          </w:tcPr>
          <w:p>
            <w:pPr>
              <w:pStyle w:val="MdTableCell"/>
            </w:pPr>
            <w:r>
              <w:t xml:space="preserve">The analyze flow and benchmark view are keyboard usable, screen-reader labeled, contrast compliant, and responsive.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Performance</w:t>
            </w:r>
          </w:p>
        </w:tc>
        <w:tc>
          <w:tcPr>
            <w:tcBorders>
              <w:right w:val="none"/>
            </w:tcBorders>
            <w:tcMar>
              <w:top w:type="dxa" w:w="80"/>
              <w:left w:type="dxa" w:w="120"/>
              <w:bottom w:type="dxa" w:w="80"/>
              <w:right w:type="dxa" w:w="120"/>
            </w:tcMar>
            <w:vAlign w:val="center"/>
          </w:tcPr>
          <w:p>
            <w:pPr>
              <w:pStyle w:val="MdTableCell"/>
            </w:pPr>
            <w:r>
              <w:t xml:space="preserve">The interface remains responsive while waiting for the backend and does not trigger duplicate or infinite requests.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Visual polish</w:t>
            </w:r>
          </w:p>
        </w:tc>
        <w:tc>
          <w:tcPr>
            <w:tcBorders>
              <w:right w:val="none"/>
            </w:tcBorders>
            <w:tcMar>
              <w:top w:type="dxa" w:w="80"/>
              <w:left w:type="dxa" w:w="120"/>
              <w:bottom w:type="dxa" w:w="80"/>
              <w:right w:type="dxa" w:w="120"/>
            </w:tcMar>
            <w:vAlign w:val="center"/>
          </w:tcPr>
          <w:p>
            <w:pPr>
              <w:pStyle w:val="MdTableCell"/>
            </w:pPr>
            <w:r>
              <w:t xml:space="preserve">The UI is legible from the back of a room, visually distinctive, consistent, and free of empty placeholder routes or broken states.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Verification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Type checking, production build, browser click-through, mock-mode rehearsal, and real backend integration have all passed.</w:t>
            </w:r>
          </w:p>
        </w:tc>
      </w:tr>
    </w:tbl>
    <w:p>
      <w:pPr>
        <w:pStyle w:val="MdHr"/>
        <w:pBdr>
          <w:bottom w:val="single" w:color="auto" w:sz="6" w:space="1"/>
        </w:pBdr>
      </w:pPr>
    </w:p>
    <w:p>
      <w:pPr>
        <w:pStyle w:val="MdSpace"/>
        <w:spacing w:before="0" w:after="60"/>
      </w:pPr>
    </w:p>
    <w:p>
      <w:pPr>
        <w:pStyle w:val="Heading2"/>
        <w:pStyle w:val="MdHeading2"/>
      </w:pPr>
      <w:r>
        <w:t xml:space="preserve">18. Final instruction to the frontend implementer</w:t>
      </w:r>
    </w:p>
    <w:p>
      <w:pPr>
        <w:pStyle w:val="MdParagraph"/>
      </w:pPr>
      <w:r>
        <w:t xml:space="preserve">Build Fraud Busters as a </w:t>
      </w:r>
      <w:r>
        <w:rPr>
          <w:rStyle w:val="MdStrong"/>
          <w:b/>
          <w:bCs/>
        </w:rPr>
        <w:t xml:space="preserve">credible quantum-fraud intelligence demonstration</w:t>
      </w:r>
      <w:r>
        <w:t xml:space="preserve">, not a generic admin template. The result should feel calm, precise, East-Africa-aware, technically honest, and presentation-ready. Lead with one compelling transaction-to-score workflow. Use the benchmark view to prove that QSVM is being evaluated fairly rather than celebrated uncritically. Make every state—live, mock, cached, fallback, loading, error, unavailable, and success—intentional and understandable.</w:t>
      </w:r>
    </w:p>
    <w:p>
      <w:pPr>
        <w:pStyle w:val="MdSpace"/>
        <w:spacing w:before="0" w:after="60"/>
      </w:pPr>
    </w:p>
    <w:p>
      <w:pPr>
        <w:pStyle w:val="MdParagraph"/>
      </w:pPr>
      <w:r>
        <w:t xml:space="preserve">The finished frontend should allow a judge to answer five questions immediately:</w:t>
      </w:r>
    </w:p>
    <w:p>
      <w:pPr>
        <w:pStyle w:val="MdSpace"/>
        <w:spacing w:before="0" w:after="60"/>
      </w:pPr>
    </w:p>
    <w:p>
      <w:pPr>
        <w:pStyle w:val="MdListItem"/>
        <w:numPr>
          <w:ilvl w:val="0"/>
          <w:numId w:val="2"/>
        </w:numPr>
      </w:pPr>
      <w:r>
        <w:t xml:space="preserve">What problem does Fraud Busters solve?</w:t>
      </w:r>
    </w:p>
    <w:p>
      <w:pPr>
        <w:pStyle w:val="MdListItem"/>
        <w:numPr>
          <w:ilvl w:val="0"/>
          <w:numId w:val="2"/>
        </w:numPr>
      </w:pPr>
      <w:r>
        <w:t xml:space="preserve">What transaction is being evaluated?</w:t>
      </w:r>
    </w:p>
    <w:p>
      <w:pPr>
        <w:pStyle w:val="MdListItem"/>
        <w:numPr>
          <w:ilvl w:val="0"/>
          <w:numId w:val="2"/>
        </w:numPr>
      </w:pPr>
      <w:r>
        <w:t xml:space="preserve">What score did the model return, and which model produced it?</w:t>
      </w:r>
    </w:p>
    <w:p>
      <w:pPr>
        <w:pStyle w:val="MdListItem"/>
        <w:numPr>
          <w:ilvl w:val="0"/>
          <w:numId w:val="2"/>
        </w:numPr>
      </w:pPr>
      <w:r>
        <w:t xml:space="preserve">How does QSVM compare with classical baselines?</w:t>
      </w:r>
    </w:p>
    <w:p>
      <w:pPr>
        <w:pStyle w:val="MdListItem"/>
        <w:numPr>
          <w:ilvl w:val="0"/>
          <w:numId w:val="2"/>
        </w:numPr>
      </w:pPr>
      <w:r>
        <w:t xml:space="preserve">What is real, what is simulated, and what remains a prototype limitation?</w:t>
      </w:r>
    </w:p>
    <w:p>
      <w:pPr>
        <w:pStyle w:val="MdSpace"/>
        <w:spacing w:before="0" w:after="60"/>
      </w:pPr>
    </w:p>
    <w:p>
      <w:pPr>
        <w:pStyle w:val="MdParagraph"/>
      </w:pPr>
      <w:r>
        <w:t xml:space="preserve">If the interface answers these questions clearly and reliably, it will support the team’s technical story, live demo, and responsible quantum-computing narrative.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w:t>
      </w:r>
      <w:r>
        <w:rPr>
          <w:rStyle w:val="MdCode"/>
          <w:u w:val="single"/>
        </w:rPr>
        <w:t xml:space="preserve">/home/ubuntu/upload/Untitleddocument.docx</w:t>
      </w:r>
      <w:r>
        <w:t xml:space="preserve"> — </w:t>
      </w:r>
      <w:r>
        <w:rPr>
          <w:rStyle w:val="MdEm"/>
          <w:i/>
          <w:iCs/>
        </w:rPr>
        <w:t xml:space="preserve">Quantum Fraud Detection for Mobile Money Networks in East Africa</w:t>
      </w:r>
      <w:r>
        <w:t xml:space="preserve"> (uploaded hackathon problem brief).</w:t>
      </w:r>
    </w:p>
    <w:p>
      <w:pPr>
        <w:pStyle w:val="MdSpace"/>
        <w:spacing w:before="0" w:after="60"/>
      </w:pPr>
    </w:p>
    <w:p>
      <w:pPr>
        <w:pStyle w:val="MdParagraph"/>
      </w:pPr>
      <w:r>
        <w:t xml:space="preserve">[2]: </w:t>
      </w:r>
      <w:r>
        <w:rPr>
          <w:rStyle w:val="MdCode"/>
          <w:u w:val="single"/>
        </w:rPr>
        <w:t xml:space="preserve">/home/ubuntu/upload/OQI_Fraud_Detection_Team_Tracker.xlsx</w:t>
      </w:r>
      <w:r>
        <w:t xml:space="preserve"> — </w:t>
      </w:r>
      <w:r>
        <w:rPr>
          <w:rStyle w:val="MdEm"/>
          <w:i/>
          <w:iCs/>
        </w:rPr>
        <w:t xml:space="preserve">Quantum-Enhanced Fraud Detection — Team Tracker</w:t>
      </w:r>
      <w:r>
        <w:t xml:space="preserve"> (uploaded team, dataset, API, frontend, timetable, and presentation requirements).</w:t>
      </w:r>
    </w:p>
    <w:p>
      <w:pPr>
        <w:pStyle w:val="MdSpace"/>
        <w:spacing w:before="0" w:after="60"/>
      </w:pPr>
    </w:p>
    <w:p>
      <w:pPr>
        <w:pStyle w:val="MdParagraph"/>
      </w:pPr>
      <w:r>
        <w:t xml:space="preserve">[3]: </w:t>
      </w:r>
      <w:r>
        <w:rPr>
          <w:rStyle w:val="MdCode"/>
          <w:u w:val="single"/>
        </w:rPr>
        <w:t xml:space="preserve">/home/ubuntu/upload/PS_20174392719_1491204439457_logLabelleddataset.csv</w:t>
      </w:r>
      <w:r>
        <w:t xml:space="preserve"> — </w:t>
      </w:r>
      <w:r>
        <w:rPr>
          <w:rStyle w:val="MdEm"/>
          <w:i/>
          <w:iCs/>
        </w:rPr>
        <w:t xml:space="preserve">PaySim1 labeled mobile-money transaction dataset</w:t>
      </w:r>
      <w:r>
        <w:t xml:space="preserve"> (uploaded primary dataset; approximately 6.36 million rows and 11 columns).</w:t>
      </w:r>
    </w:p>
    <w:p>
      <w:pPr>
        <w:pStyle w:val="MdSpace"/>
        <w:spacing w:before="0" w:after="60"/>
      </w:pPr>
    </w:p>
    <w:p>
      <w:pPr>
        <w:pStyle w:val="MdParagraph"/>
      </w:pPr>
      <w:r>
        <w:t xml:space="preserve">[4]: </w:t>
      </w:r>
      <w:r>
        <w:rPr>
          <w:rStyle w:val="MdCode"/>
          <w:u w:val="single"/>
        </w:rPr>
        <w:t xml:space="preserve">/home/ubuntu/upload/mpesa_syntheticUnlabelleddataset.csv</w:t>
      </w:r>
      <w:r>
        <w:t xml:space="preserve"> — </w:t>
      </w:r>
      <w:r>
        <w:rPr>
          <w:rStyle w:val="MdEm"/>
          <w:i/>
          <w:iCs/>
        </w:rPr>
        <w:t xml:space="preserve">Synthetic Kenyan M-Pesa-style transaction dataset</w:t>
      </w:r>
      <w:r>
        <w:t xml:space="preserve"> (uploaded contextual/exploratory dataset with Kenya-grounded transaction fields).</w:t>
      </w:r>
    </w:p>
    <w:p>
      <w:pPr>
        <w:pStyle w:val="MdSpace"/>
        <w:spacing w:before="0" w:after="60"/>
      </w:pPr>
    </w:p>
    <w:p>
      <w:pPr>
        <w:pStyle w:val="MdParagraph"/>
      </w:pPr>
      <w:r>
        <w:t xml:space="preserve">[5]: </w:t>
      </w:r>
      <w:r>
        <w:rPr>
          <w:rStyle w:val="MdCode"/>
          <w:u w:val="single"/>
        </w:rPr>
        <w:t xml:space="preserve">/home/ubuntu/skills/webdev-readme-static/SKILL.md</w:t>
      </w:r>
      <w:r>
        <w:t xml:space="preserve"> — </w:t>
      </w:r>
      <w:r>
        <w:rPr>
          <w:rStyle w:val="MdEm"/>
          <w:i/>
          <w:iCs/>
        </w:rPr>
        <w:t xml:space="preserve">Static React/Tailwind frontend development guidance</w:t>
      </w:r>
      <w:r>
        <w:t xml:space="preserve"> (local implementation constraints and accessibility/design guardrails).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2026-09-01T15:50:39.297Z</dcterms:created>
  <dcterms:modified xsi:type="dcterms:W3CDTF">2026-09-01T15:50:39.297Z</dcterms:modified>
</cp:coreProperties>
</file>

<file path=docProps/custom.xml><?xml version="1.0" encoding="utf-8"?>
<Properties xmlns="http://schemas.openxmlformats.org/officeDocument/2006/custom-properties" xmlns:vt="http://schemas.openxmlformats.org/officeDocument/2006/docPropsVTypes"/>
</file>