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F4E79"/>
          <w:sz w:val="64"/>
        </w:rPr>
        <w:t>Q4 Persoonlijke Waarden</w:t>
      </w:r>
    </w:p>
    <w:p>
      <w:pPr>
        <w:jc w:val="center"/>
      </w:pPr>
      <w:r>
        <w:rPr>
          <w:rFonts w:ascii="Arial" w:hAnsi="Arial"/>
          <w:color w:val="464646"/>
          <w:sz w:val="34"/>
        </w:rPr>
        <w:t>Geintegreerde analyse, bronverbindingen en DISC-koppeling</w:t>
      </w:r>
    </w:p>
    <w:p/>
    <w:p>
      <w:pPr>
        <w:jc w:val="center"/>
      </w:pPr>
      <w:r>
        <w:rPr>
          <w:rFonts w:ascii="Arial" w:hAnsi="Arial"/>
          <w:sz w:val="22"/>
        </w:rPr>
        <w:t>Gebaseerd op vijf aangeleverde Q4 Profiles-documenten (2018-2025)</w:t>
      </w:r>
    </w:p>
    <w:p>
      <w:pPr>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3_Matrix_invloed_Waarden_op_DISC.png"/>
                    <pic:cNvPicPr/>
                  </pic:nvPicPr>
                  <pic:blipFill>
                    <a:blip r:embed="rId11"/>
                    <a:stretch>
                      <a:fillRect/>
                    </a:stretch>
                  </pic:blipFill>
                  <pic:spPr>
                    <a:xfrm>
                      <a:off x="0" y="0"/>
                      <a:ext cx="5580000" cy="3875000"/>
                    </a:xfrm>
                    <a:prstGeom prst="rect"/>
                  </pic:spPr>
                </pic:pic>
              </a:graphicData>
            </a:graphic>
          </wp:inline>
        </w:drawing>
      </w:r>
    </w:p>
    <w:tbl>
      <w:tblPr>
        <w:tblW w:type="auto" w:w="0"/>
        <w:jc w:val="center"/>
        <w:tblLayout w:type="autofit"/>
        <w:tblLook w:firstColumn="1" w:firstRow="1" w:lastColumn="0" w:lastRow="0" w:noHBand="0" w:noVBand="1" w:val="04A0"/>
      </w:tblPr>
      <w:tblGrid>
        <w:gridCol w:w="10312"/>
      </w:tblGrid>
      <w:tr>
        <w:tc>
          <w:tcPr>
            <w:tcW w:type="dxa" w:w="10312"/>
            <w:shd w:fill="FFF2CC"/>
          </w:tcPr>
          <w:p>
            <w:pPr>
              <w:spacing w:after="60"/>
            </w:pPr>
            <w:r>
              <w:rPr>
                <w:rFonts w:ascii="Arial" w:hAnsi="Arial"/>
                <w:b/>
                <w:color w:val="1F4E79"/>
                <w:sz w:val="21"/>
              </w:rPr>
              <w:t>Status van dit document</w:t>
              <w:br/>
            </w:r>
            <w:r>
              <w:rPr>
                <w:rFonts w:ascii="Arial" w:hAnsi="Arial"/>
                <w:sz w:val="19"/>
              </w:rPr>
              <w:t>Officiele broninhoud is gescheiden van interpretatieve synthese. Bij verschil geldt bronvolgorde in hoofdstuk 1. Typebeschrijvingen uit 2025 zijn beslissend; DISC-versterking volgt schema uit 2020.</w:t>
            </w:r>
          </w:p>
        </w:tc>
      </w:tr>
    </w:tbl>
    <w:p>
      <w:pPr>
        <w:spacing w:after="0"/>
      </w:pPr>
    </w:p>
    <w:p>
      <w:r>
        <w:br w:type="page"/>
      </w:r>
    </w:p>
    <w:p>
      <w:pPr>
        <w:pStyle w:val="Heading1"/>
      </w:pPr>
      <w:r>
        <w:t>Inhoud</w:t>
      </w:r>
    </w:p>
    <w:p>
      <w:pPr>
        <w:pStyle w:val="ListBullet"/>
        <w:spacing w:after="40"/>
      </w:pPr>
      <w:r>
        <w:t>1. Bronset en bronvolgorde</w:t>
      </w:r>
    </w:p>
    <w:p>
      <w:pPr>
        <w:pStyle w:val="ListBullet"/>
        <w:spacing w:after="40"/>
      </w:pPr>
      <w:r>
        <w:t>2. Hoe documenten samenhangen</w:t>
      </w:r>
    </w:p>
    <w:p>
      <w:pPr>
        <w:pStyle w:val="ListBullet"/>
        <w:spacing w:after="40"/>
      </w:pPr>
      <w:r>
        <w:t>3. Kernmodel: overtuigingen, waarden, behoeften en gedrag</w:t>
      </w:r>
    </w:p>
    <w:p>
      <w:pPr>
        <w:pStyle w:val="ListBullet"/>
        <w:spacing w:after="40"/>
      </w:pPr>
      <w:r>
        <w:t>4. Vier waardenperspectieven</w:t>
      </w:r>
    </w:p>
    <w:p>
      <w:pPr>
        <w:pStyle w:val="ListBullet"/>
        <w:spacing w:after="40"/>
      </w:pPr>
      <w:r>
        <w:t>5. Doelen en inzet</w:t>
      </w:r>
    </w:p>
    <w:p>
      <w:pPr>
        <w:pStyle w:val="ListBullet"/>
        <w:spacing w:after="40"/>
      </w:pPr>
      <w:r>
        <w:t>6. Helderheid, intensiteit, conflict en mengvormen</w:t>
      </w:r>
    </w:p>
    <w:p>
      <w:pPr>
        <w:pStyle w:val="ListBullet"/>
        <w:spacing w:after="40"/>
      </w:pPr>
      <w:r>
        <w:t>7. DISC en waarden: versterking en verzwakking</w:t>
      </w:r>
    </w:p>
    <w:p>
      <w:pPr>
        <w:pStyle w:val="ListBullet"/>
        <w:spacing w:after="40"/>
      </w:pPr>
      <w:r>
        <w:t>8. Zestien DISC-waardencombinaties</w:t>
      </w:r>
    </w:p>
    <w:p>
      <w:pPr>
        <w:pStyle w:val="ListBullet"/>
        <w:spacing w:after="40"/>
      </w:pPr>
      <w:r>
        <w:t>9. Verbindingen tussen waardenprofielen</w:t>
      </w:r>
    </w:p>
    <w:p>
      <w:pPr>
        <w:pStyle w:val="ListBullet"/>
        <w:spacing w:after="40"/>
      </w:pPr>
      <w:r>
        <w:t>10. Interpretatieprotocol</w:t>
      </w:r>
    </w:p>
    <w:p>
      <w:pPr>
        <w:pStyle w:val="ListBullet"/>
        <w:spacing w:after="40"/>
      </w:pPr>
      <w:r>
        <w:t>11. Verschillen en opgeloste spanning tussen bronnen</w:t>
      </w:r>
    </w:p>
    <w:p>
      <w:pPr>
        <w:pStyle w:val="ListBullet"/>
        <w:spacing w:after="40"/>
      </w:pPr>
      <w:r>
        <w:t>12. Bronregister</w:t>
      </w:r>
    </w:p>
    <w:p>
      <w:r>
        <w:br w:type="page"/>
      </w:r>
    </w:p>
    <w:p>
      <w:pPr>
        <w:pStyle w:val="Heading1"/>
      </w:pPr>
      <w:r>
        <w:t>1. Bronset en bronvolgorde</w:t>
      </w:r>
    </w:p>
    <w:p>
      <w:r>
        <w:t>Bundel combineert vijf Q4 Profiles-bronnen. Niet ieder document heeft zelfde doel. Daarom vaste bronvolgorde nodig.</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567"/>
            <w:vAlign w:val="center"/>
            <w:shd w:fill="1F4E79"/>
          </w:tcPr>
          <w:p>
            <w:pPr>
              <w:spacing w:after="0"/>
              <w:jc w:val="center"/>
            </w:pPr>
            <w:r/>
            <w:r>
              <w:rPr>
                <w:rFonts w:ascii="Arial" w:hAnsi="Arial"/>
                <w:b/>
                <w:color w:val="FFFFFF"/>
                <w:sz w:val="18"/>
              </w:rPr>
              <w:t>Rang</w:t>
            </w:r>
          </w:p>
        </w:tc>
        <w:tc>
          <w:tcPr>
            <w:tcW w:type="dxa" w:w="3572"/>
            <w:vAlign w:val="center"/>
            <w:shd w:fill="1F4E79"/>
          </w:tcPr>
          <w:p>
            <w:pPr>
              <w:spacing w:after="0"/>
              <w:jc w:val="center"/>
            </w:pPr>
            <w:r/>
            <w:r>
              <w:rPr>
                <w:rFonts w:ascii="Arial" w:hAnsi="Arial"/>
                <w:b/>
                <w:color w:val="FFFFFF"/>
                <w:sz w:val="18"/>
              </w:rPr>
              <w:t>Bron</w:t>
            </w:r>
          </w:p>
        </w:tc>
        <w:tc>
          <w:tcPr>
            <w:tcW w:type="dxa" w:w="794"/>
            <w:vAlign w:val="center"/>
            <w:shd w:fill="1F4E79"/>
          </w:tcPr>
          <w:p>
            <w:pPr>
              <w:spacing w:after="0"/>
              <w:jc w:val="center"/>
            </w:pPr>
            <w:r/>
            <w:r>
              <w:rPr>
                <w:rFonts w:ascii="Arial" w:hAnsi="Arial"/>
                <w:b/>
                <w:color w:val="FFFFFF"/>
                <w:sz w:val="18"/>
              </w:rPr>
              <w:t>Jaar</w:t>
            </w:r>
          </w:p>
        </w:tc>
        <w:tc>
          <w:tcPr>
            <w:tcW w:type="dxa" w:w="4819"/>
            <w:vAlign w:val="center"/>
            <w:shd w:fill="1F4E79"/>
          </w:tcPr>
          <w:p>
            <w:pPr>
              <w:spacing w:after="0"/>
              <w:jc w:val="center"/>
            </w:pPr>
            <w:r/>
            <w:r>
              <w:rPr>
                <w:rFonts w:ascii="Arial" w:hAnsi="Arial"/>
                <w:b/>
                <w:color w:val="FFFFFF"/>
                <w:sz w:val="18"/>
              </w:rPr>
              <w:t>Gebruik</w:t>
            </w:r>
          </w:p>
        </w:tc>
      </w:tr>
      <w:tr>
        <w:trPr>
          <w:cantSplit/>
        </w:trPr>
        <w:tc>
          <w:tcPr>
            <w:tcW w:type="dxa" w:w="567"/>
            <w:vAlign w:val="center"/>
          </w:tcPr>
          <w:p>
            <w:pPr>
              <w:spacing w:after="0"/>
              <w:jc w:val="left"/>
            </w:pPr>
            <w:r/>
            <w:r>
              <w:rPr>
                <w:rFonts w:ascii="Arial" w:hAnsi="Arial"/>
                <w:b w:val="0"/>
                <w:sz w:val="17"/>
              </w:rPr>
              <w:t>1</w:t>
            </w:r>
          </w:p>
        </w:tc>
        <w:tc>
          <w:tcPr>
            <w:tcW w:type="dxa" w:w="3572"/>
            <w:vAlign w:val="center"/>
          </w:tcPr>
          <w:p>
            <w:pPr>
              <w:spacing w:after="0"/>
              <w:jc w:val="left"/>
            </w:pPr>
            <w:r/>
            <w:r>
              <w:rPr>
                <w:rFonts w:ascii="Arial" w:hAnsi="Arial"/>
                <w:b w:val="0"/>
                <w:sz w:val="17"/>
              </w:rPr>
              <w:t>Persoonlijke Waarden vier Type beschrijvingen.pdf</w:t>
            </w:r>
          </w:p>
        </w:tc>
        <w:tc>
          <w:tcPr>
            <w:tcW w:type="dxa" w:w="794"/>
            <w:vAlign w:val="center"/>
          </w:tcPr>
          <w:p>
            <w:pPr>
              <w:spacing w:after="0"/>
              <w:jc w:val="left"/>
            </w:pPr>
            <w:r/>
            <w:r>
              <w:rPr>
                <w:rFonts w:ascii="Arial" w:hAnsi="Arial"/>
                <w:b w:val="0"/>
                <w:sz w:val="17"/>
              </w:rPr>
              <w:t>2025</w:t>
            </w:r>
          </w:p>
        </w:tc>
        <w:tc>
          <w:tcPr>
            <w:tcW w:type="dxa" w:w="4819"/>
            <w:vAlign w:val="center"/>
          </w:tcPr>
          <w:p>
            <w:pPr>
              <w:spacing w:after="0"/>
              <w:jc w:val="left"/>
            </w:pPr>
            <w:r/>
            <w:r>
              <w:rPr>
                <w:rFonts w:ascii="Arial" w:hAnsi="Arial"/>
                <w:b w:val="0"/>
                <w:sz w:val="17"/>
              </w:rPr>
              <w:t>Beslissende beschrijving Type I-IV: perspectief, karakteristieken, drijfveren, motivatie en demotivatie.</w:t>
            </w:r>
          </w:p>
        </w:tc>
      </w:tr>
      <w:tr>
        <w:trPr>
          <w:cantSplit/>
        </w:trPr>
        <w:tc>
          <w:tcPr>
            <w:tcW w:type="dxa" w:w="567"/>
            <w:vAlign w:val="center"/>
          </w:tcPr>
          <w:p>
            <w:pPr>
              <w:spacing w:after="0"/>
              <w:jc w:val="left"/>
            </w:pPr>
            <w:r/>
            <w:r>
              <w:rPr>
                <w:rFonts w:ascii="Arial" w:hAnsi="Arial"/>
                <w:b w:val="0"/>
                <w:sz w:val="17"/>
              </w:rPr>
              <w:t>2</w:t>
            </w:r>
          </w:p>
        </w:tc>
        <w:tc>
          <w:tcPr>
            <w:tcW w:type="dxa" w:w="3572"/>
            <w:vAlign w:val="center"/>
          </w:tcPr>
          <w:p>
            <w:pPr>
              <w:spacing w:after="0"/>
              <w:jc w:val="left"/>
            </w:pPr>
            <w:r/>
            <w:r>
              <w:rPr>
                <w:rFonts w:ascii="Arial" w:hAnsi="Arial"/>
                <w:b w:val="0"/>
                <w:sz w:val="17"/>
              </w:rPr>
              <w:t>6_Schema invloed WAARDEN en DISC.docx</w:t>
            </w:r>
          </w:p>
        </w:tc>
        <w:tc>
          <w:tcPr>
            <w:tcW w:type="dxa" w:w="794"/>
            <w:vAlign w:val="center"/>
          </w:tcPr>
          <w:p>
            <w:pPr>
              <w:spacing w:after="0"/>
              <w:jc w:val="left"/>
            </w:pPr>
            <w:r/>
            <w:r>
              <w:rPr>
                <w:rFonts w:ascii="Arial" w:hAnsi="Arial"/>
                <w:b w:val="0"/>
                <w:sz w:val="17"/>
              </w:rPr>
              <w:t>2020</w:t>
            </w:r>
          </w:p>
        </w:tc>
        <w:tc>
          <w:tcPr>
            <w:tcW w:type="dxa" w:w="4819"/>
            <w:vAlign w:val="center"/>
          </w:tcPr>
          <w:p>
            <w:pPr>
              <w:spacing w:after="0"/>
              <w:jc w:val="left"/>
            </w:pPr>
            <w:r/>
            <w:r>
              <w:rPr>
                <w:rFonts w:ascii="Arial" w:hAnsi="Arial"/>
                <w:b w:val="0"/>
                <w:sz w:val="17"/>
              </w:rPr>
              <w:t>Leidend voor netto versterking (&gt;) en verzwakking (&lt;) tussen waarden en DISC.</w:t>
            </w:r>
          </w:p>
        </w:tc>
      </w:tr>
      <w:tr>
        <w:trPr>
          <w:cantSplit/>
        </w:trPr>
        <w:tc>
          <w:tcPr>
            <w:tcW w:type="dxa" w:w="567"/>
            <w:vAlign w:val="center"/>
          </w:tcPr>
          <w:p>
            <w:pPr>
              <w:spacing w:after="0"/>
              <w:jc w:val="left"/>
            </w:pPr>
            <w:r/>
            <w:r>
              <w:rPr>
                <w:rFonts w:ascii="Arial" w:hAnsi="Arial"/>
                <w:b w:val="0"/>
                <w:sz w:val="17"/>
              </w:rPr>
              <w:t>3</w:t>
            </w:r>
          </w:p>
        </w:tc>
        <w:tc>
          <w:tcPr>
            <w:tcW w:type="dxa" w:w="3572"/>
            <w:vAlign w:val="center"/>
          </w:tcPr>
          <w:p>
            <w:pPr>
              <w:spacing w:after="0"/>
              <w:jc w:val="left"/>
            </w:pPr>
            <w:r/>
            <w:r>
              <w:rPr>
                <w:rFonts w:ascii="Arial" w:hAnsi="Arial"/>
                <w:b w:val="0"/>
                <w:sz w:val="17"/>
              </w:rPr>
              <w:t>5_Persoonlijke Waarden Verdieping.pdf</w:t>
            </w:r>
          </w:p>
        </w:tc>
        <w:tc>
          <w:tcPr>
            <w:tcW w:type="dxa" w:w="794"/>
            <w:vAlign w:val="center"/>
          </w:tcPr>
          <w:p>
            <w:pPr>
              <w:spacing w:after="0"/>
              <w:jc w:val="left"/>
            </w:pPr>
            <w:r/>
            <w:r>
              <w:rPr>
                <w:rFonts w:ascii="Arial" w:hAnsi="Arial"/>
                <w:b w:val="0"/>
                <w:sz w:val="17"/>
              </w:rPr>
              <w:t>2021</w:t>
            </w:r>
          </w:p>
        </w:tc>
        <w:tc>
          <w:tcPr>
            <w:tcW w:type="dxa" w:w="4819"/>
            <w:vAlign w:val="center"/>
          </w:tcPr>
          <w:p>
            <w:pPr>
              <w:spacing w:after="0"/>
              <w:jc w:val="left"/>
            </w:pPr>
            <w:r/>
            <w:r>
              <w:rPr>
                <w:rFonts w:ascii="Arial" w:hAnsi="Arial"/>
                <w:b w:val="0"/>
                <w:sz w:val="17"/>
              </w:rPr>
              <w:t>Leidend voor helderheid, intensiteit en uitleg van zichtbare DISC-waardenwerking.</w:t>
            </w:r>
          </w:p>
        </w:tc>
      </w:tr>
      <w:tr>
        <w:trPr>
          <w:cantSplit/>
        </w:trPr>
        <w:tc>
          <w:tcPr>
            <w:tcW w:type="dxa" w:w="567"/>
            <w:vAlign w:val="center"/>
          </w:tcPr>
          <w:p>
            <w:pPr>
              <w:spacing w:after="0"/>
              <w:jc w:val="left"/>
            </w:pPr>
            <w:r/>
            <w:r>
              <w:rPr>
                <w:rFonts w:ascii="Arial" w:hAnsi="Arial"/>
                <w:b w:val="0"/>
                <w:sz w:val="17"/>
              </w:rPr>
              <w:t>4</w:t>
            </w:r>
          </w:p>
        </w:tc>
        <w:tc>
          <w:tcPr>
            <w:tcW w:type="dxa" w:w="3572"/>
            <w:vAlign w:val="center"/>
          </w:tcPr>
          <w:p>
            <w:pPr>
              <w:spacing w:after="0"/>
              <w:jc w:val="left"/>
            </w:pPr>
            <w:r/>
            <w:r>
              <w:rPr>
                <w:rFonts w:ascii="Arial" w:hAnsi="Arial"/>
                <w:b w:val="0"/>
                <w:sz w:val="17"/>
              </w:rPr>
              <w:t>Waarden Certificatie_nieuw EK Oud.pptx</w:t>
            </w:r>
          </w:p>
        </w:tc>
        <w:tc>
          <w:tcPr>
            <w:tcW w:type="dxa" w:w="794"/>
            <w:vAlign w:val="center"/>
          </w:tcPr>
          <w:p>
            <w:pPr>
              <w:spacing w:after="0"/>
              <w:jc w:val="left"/>
            </w:pPr>
            <w:r/>
            <w:r>
              <w:rPr>
                <w:rFonts w:ascii="Arial" w:hAnsi="Arial"/>
                <w:b w:val="0"/>
                <w:sz w:val="17"/>
              </w:rPr>
              <w:t>2019</w:t>
            </w:r>
          </w:p>
        </w:tc>
        <w:tc>
          <w:tcPr>
            <w:tcW w:type="dxa" w:w="4819"/>
            <w:vAlign w:val="center"/>
          </w:tcPr>
          <w:p>
            <w:pPr>
              <w:spacing w:after="0"/>
              <w:jc w:val="left"/>
            </w:pPr>
            <w:r/>
            <w:r>
              <w:rPr>
                <w:rFonts w:ascii="Arial" w:hAnsi="Arial"/>
                <w:b w:val="0"/>
                <w:sz w:val="17"/>
              </w:rPr>
              <w:t>Modelstructuur: rechten/verantwoordelijkheden, doelen/inzet, voorbeelden en ontwikkelacties.</w:t>
            </w:r>
          </w:p>
        </w:tc>
      </w:tr>
      <w:tr>
        <w:trPr>
          <w:cantSplit/>
        </w:trPr>
        <w:tc>
          <w:tcPr>
            <w:tcW w:type="dxa" w:w="567"/>
            <w:vAlign w:val="center"/>
          </w:tcPr>
          <w:p>
            <w:pPr>
              <w:spacing w:after="0"/>
              <w:jc w:val="left"/>
            </w:pPr>
            <w:r/>
            <w:r>
              <w:rPr>
                <w:rFonts w:ascii="Arial" w:hAnsi="Arial"/>
                <w:b w:val="0"/>
                <w:sz w:val="17"/>
              </w:rPr>
              <w:t>5</w:t>
            </w:r>
          </w:p>
        </w:tc>
        <w:tc>
          <w:tcPr>
            <w:tcW w:type="dxa" w:w="3572"/>
            <w:vAlign w:val="center"/>
          </w:tcPr>
          <w:p>
            <w:pPr>
              <w:spacing w:after="0"/>
              <w:jc w:val="left"/>
            </w:pPr>
            <w:r/>
            <w:r>
              <w:rPr>
                <w:rFonts w:ascii="Arial" w:hAnsi="Arial"/>
                <w:b w:val="0"/>
                <w:sz w:val="17"/>
              </w:rPr>
              <w:t>Q4 Waarden Certificatie Handboek...pdf</w:t>
            </w:r>
          </w:p>
        </w:tc>
        <w:tc>
          <w:tcPr>
            <w:tcW w:type="dxa" w:w="794"/>
            <w:vAlign w:val="center"/>
          </w:tcPr>
          <w:p>
            <w:pPr>
              <w:spacing w:after="0"/>
              <w:jc w:val="left"/>
            </w:pPr>
            <w:r/>
            <w:r>
              <w:rPr>
                <w:rFonts w:ascii="Arial" w:hAnsi="Arial"/>
                <w:b w:val="0"/>
                <w:sz w:val="17"/>
              </w:rPr>
              <w:t>2018</w:t>
            </w:r>
          </w:p>
        </w:tc>
        <w:tc>
          <w:tcPr>
            <w:tcW w:type="dxa" w:w="4819"/>
            <w:vAlign w:val="center"/>
          </w:tcPr>
          <w:p>
            <w:pPr>
              <w:spacing w:after="0"/>
              <w:jc w:val="left"/>
            </w:pPr>
            <w:r/>
            <w:r>
              <w:rPr>
                <w:rFonts w:ascii="Arial" w:hAnsi="Arial"/>
                <w:b w:val="0"/>
                <w:sz w:val="17"/>
              </w:rPr>
              <w:t>Theoretische basis: overtuigingen, behoeften, systematiek, mengvormen en waardenconflict.</w:t>
            </w:r>
          </w:p>
        </w:tc>
      </w:tr>
    </w:tbl>
    <w:tbl>
      <w:tblPr>
        <w:tblW w:type="auto" w:w="0"/>
        <w:jc w:val="center"/>
        <w:tblLayout w:type="autofit"/>
        <w:tblLook w:firstColumn="1" w:firstRow="1" w:lastColumn="0" w:lastRow="0" w:noHBand="0" w:noVBand="1" w:val="04A0"/>
      </w:tblPr>
      <w:tblGrid>
        <w:gridCol w:w="10312"/>
      </w:tblGrid>
      <w:tr>
        <w:tc>
          <w:tcPr>
            <w:tcW w:type="dxa" w:w="10312"/>
            <w:shd w:fill="E2F0D9"/>
          </w:tcPr>
          <w:p>
            <w:pPr>
              <w:spacing w:after="60"/>
            </w:pPr>
            <w:r>
              <w:rPr>
                <w:rFonts w:ascii="Arial" w:hAnsi="Arial"/>
                <w:b/>
                <w:color w:val="1F4E79"/>
                <w:sz w:val="21"/>
              </w:rPr>
              <w:t>Beslisregel</w:t>
              <w:br/>
            </w:r>
            <w:r>
              <w:rPr>
                <w:rFonts w:ascii="Arial" w:hAnsi="Arial"/>
                <w:sz w:val="19"/>
              </w:rPr>
              <w:t>Bij inhoudelijk verschil wint recentere, specifiekere bron. Typeinhoud: 2025-PDF. DISC-pijlen: 2020-schema. 2021-document verklaart mechanismen en voorbeelden.</w:t>
            </w:r>
          </w:p>
        </w:tc>
      </w:tr>
    </w:tbl>
    <w:p>
      <w:pPr>
        <w:spacing w:after="0"/>
      </w:pPr>
    </w:p>
    <w:p>
      <w:pPr>
        <w:pStyle w:val="Heading1"/>
      </w:pPr>
      <w:r>
        <w:t>2. Hoe documenten samenhangen</w:t>
      </w:r>
    </w:p>
    <w:p>
      <w:pPr>
        <w:spacing w:after="60"/>
      </w:pPr>
      <w:r>
        <w:rPr>
          <w:b/>
          <w:color w:val="1F4E79"/>
        </w:rPr>
        <w:t xml:space="preserve">Handboek 2018: </w:t>
      </w:r>
      <w:r>
        <w:t>Legt fundering: ervaringen vormen overtuigingen; waarden zijn bredere overtuigingen; waarden vormen geordend systeem.</w:t>
      </w:r>
    </w:p>
    <w:p>
      <w:pPr>
        <w:spacing w:after="60"/>
      </w:pPr>
      <w:r>
        <w:rPr>
          <w:b/>
          <w:color w:val="1F4E79"/>
        </w:rPr>
        <w:t xml:space="preserve">Certificatiepresentatie 2019: </w:t>
      </w:r>
      <w:r>
        <w:t>Zet fundering om in vier universele perspectieven en onderscheidt doel van inzet.</w:t>
      </w:r>
    </w:p>
    <w:p>
      <w:pPr>
        <w:spacing w:after="60"/>
      </w:pPr>
      <w:r>
        <w:rPr>
          <w:b/>
          <w:color w:val="1F4E79"/>
        </w:rPr>
        <w:t xml:space="preserve">Schema 2020: </w:t>
      </w:r>
      <w:r>
        <w:t>Verbindt waardenperspectief met zichtbare DISC-stijl via versterking of verzwakking.</w:t>
      </w:r>
    </w:p>
    <w:p>
      <w:pPr>
        <w:spacing w:after="60"/>
      </w:pPr>
      <w:r>
        <w:rPr>
          <w:b/>
          <w:color w:val="1F4E79"/>
        </w:rPr>
        <w:t xml:space="preserve">Verdieping 2021: </w:t>
      </w:r>
      <w:r>
        <w:t>Maakt profiel leesbaar via helderheid en intensiteit en geeft situaties waarin waarden DISC-reactie corrigeren.</w:t>
      </w:r>
    </w:p>
    <w:p>
      <w:pPr>
        <w:spacing w:after="60"/>
      </w:pPr>
      <w:r>
        <w:rPr>
          <w:b/>
          <w:color w:val="1F4E79"/>
        </w:rPr>
        <w:t xml:space="preserve">Typebeschrijvingen 2025: </w:t>
      </w:r>
      <w:r>
        <w:t>Geeft meest recente, volledige taal voor elk type en vormt inhoudelijk eindpunt.</w:t>
      </w:r>
    </w:p>
    <w:tbl>
      <w:tblPr>
        <w:tblW w:type="auto" w:w="0"/>
        <w:jc w:val="center"/>
        <w:tblLayout w:type="autofit"/>
        <w:tblLook w:firstColumn="1" w:firstRow="1" w:lastColumn="0" w:lastRow="0" w:noHBand="0" w:noVBand="1" w:val="04A0"/>
      </w:tblPr>
      <w:tblGrid>
        <w:gridCol w:w="10312"/>
      </w:tblGrid>
      <w:tr>
        <w:tc>
          <w:tcPr>
            <w:tcW w:type="dxa" w:w="10312"/>
            <w:shd w:fill="EAF2F8"/>
          </w:tcPr>
          <w:p>
            <w:pPr>
              <w:spacing w:after="60"/>
            </w:pPr>
            <w:r>
              <w:rPr>
                <w:rFonts w:ascii="Arial" w:hAnsi="Arial"/>
                <w:b/>
                <w:color w:val="1F4E79"/>
                <w:sz w:val="21"/>
              </w:rPr>
              <w:t>Synthese</w:t>
              <w:br/>
            </w:r>
            <w:r>
              <w:rPr>
                <w:rFonts w:ascii="Arial" w:hAnsi="Arial"/>
                <w:sz w:val="19"/>
              </w:rPr>
              <w:t>Documenten vormen keten: ervaring -&gt; overtuiging -&gt; waardensysteem -&gt; waardenperspectief -&gt; oordeel over wat juist is -&gt; invloed op DISC-gedrag -&gt; zichtbaar handelen.</w:t>
            </w:r>
          </w:p>
        </w:tc>
      </w:tr>
    </w:tbl>
    <w:p>
      <w:pPr>
        <w:spacing w:after="0"/>
      </w:pPr>
    </w:p>
    <w:p>
      <w:pPr>
        <w:pStyle w:val="Heading1"/>
      </w:pPr>
      <w:r>
        <w:t>3. Kernmodel: overtuigingen, waarden, behoeften en gedrag</w:t>
      </w:r>
    </w:p>
    <w:p>
      <w:pPr>
        <w:pStyle w:val="Heading2"/>
      </w:pPr>
      <w:r>
        <w:t>3.1 Overtuigingen en waarden</w:t>
      </w:r>
    </w:p>
    <w:p>
      <w:pPr>
        <w:pStyle w:val="ListBullet"/>
        <w:spacing w:after="40"/>
      </w:pPr>
      <w:r>
        <w:t>Ervaringen en betekenisgeving vormen overtuigingen.</w:t>
      </w:r>
    </w:p>
    <w:p>
      <w:pPr>
        <w:pStyle w:val="ListBullet"/>
        <w:spacing w:after="40"/>
      </w:pPr>
      <w:r>
        <w:t>Overtuigingen werken als mentale filters voor waarneming en beoordeling.</w:t>
      </w:r>
    </w:p>
    <w:p>
      <w:pPr>
        <w:pStyle w:val="ListBullet"/>
        <w:spacing w:after="40"/>
      </w:pPr>
      <w:r>
        <w:t>Waarden zijn overtuigingen die verder gaan dan specifieke situatie, persoon of zaak.</w:t>
      </w:r>
    </w:p>
    <w:p>
      <w:pPr>
        <w:pStyle w:val="ListBullet"/>
        <w:spacing w:after="40"/>
      </w:pPr>
      <w:r>
        <w:t>Waarden zijn geordend: centraal of minder centraal, geclusterd en onderling samenhangend.</w:t>
      </w:r>
    </w:p>
    <w:p>
      <w:pPr>
        <w:pStyle w:val="ListBullet"/>
        <w:spacing w:after="40"/>
      </w:pPr>
      <w:r>
        <w:t>Belangrijke emotionele ervaringen, socialisatie, cultuur en levensfasen kunnen waarden ontwikkelen of verschuiven.</w:t>
      </w:r>
    </w:p>
    <w:p>
      <w:pPr>
        <w:pStyle w:val="Bron"/>
      </w:pPr>
      <w:r>
        <w:t>Bron: Handboek 2018, hoofdstuk 2, concept 1 en 3.</w:t>
      </w:r>
    </w:p>
    <w:p>
      <w:r>
        <w:br w:type="page"/>
      </w:r>
    </w:p>
    <w:p>
      <w:pPr>
        <w:pStyle w:val="Heading2"/>
      </w:pPr>
      <w:r>
        <w:t>3.2 Behoeftegedreven versus waardengedreven</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3437"/>
            <w:vAlign w:val="center"/>
            <w:shd w:fill="1F4E79"/>
          </w:tcPr>
          <w:p>
            <w:pPr>
              <w:spacing w:after="0"/>
              <w:jc w:val="center"/>
            </w:pPr>
            <w:r/>
            <w:r>
              <w:rPr>
                <w:rFonts w:ascii="Arial" w:hAnsi="Arial"/>
                <w:b/>
                <w:color w:val="FFFFFF"/>
                <w:sz w:val="19"/>
              </w:rPr>
              <w:t>Vraag</w:t>
            </w:r>
          </w:p>
        </w:tc>
        <w:tc>
          <w:tcPr>
            <w:tcW w:type="dxa" w:w="3437"/>
            <w:vAlign w:val="center"/>
            <w:shd w:fill="1F4E79"/>
          </w:tcPr>
          <w:p>
            <w:pPr>
              <w:spacing w:after="0"/>
              <w:jc w:val="center"/>
            </w:pPr>
            <w:r/>
            <w:r>
              <w:rPr>
                <w:rFonts w:ascii="Arial" w:hAnsi="Arial"/>
                <w:b/>
                <w:color w:val="FFFFFF"/>
                <w:sz w:val="19"/>
              </w:rPr>
              <w:t>Behoefte / DISC</w:t>
            </w:r>
          </w:p>
        </w:tc>
        <w:tc>
          <w:tcPr>
            <w:tcW w:type="dxa" w:w="3437"/>
            <w:vAlign w:val="center"/>
            <w:shd w:fill="1F4E79"/>
          </w:tcPr>
          <w:p>
            <w:pPr>
              <w:spacing w:after="0"/>
              <w:jc w:val="center"/>
            </w:pPr>
            <w:r/>
            <w:r>
              <w:rPr>
                <w:rFonts w:ascii="Arial" w:hAnsi="Arial"/>
                <w:b/>
                <w:color w:val="FFFFFF"/>
                <w:sz w:val="19"/>
              </w:rPr>
              <w:t>Waarden</w:t>
            </w:r>
          </w:p>
        </w:tc>
      </w:tr>
      <w:tr>
        <w:trPr>
          <w:cantSplit/>
        </w:trPr>
        <w:tc>
          <w:tcPr>
            <w:tcW w:type="dxa" w:w="3437"/>
            <w:vAlign w:val="center"/>
          </w:tcPr>
          <w:p>
            <w:pPr>
              <w:spacing w:after="0"/>
              <w:jc w:val="left"/>
            </w:pPr>
            <w:r/>
            <w:r>
              <w:rPr>
                <w:rFonts w:ascii="Arial" w:hAnsi="Arial"/>
                <w:b w:val="0"/>
                <w:sz w:val="18"/>
              </w:rPr>
              <w:t>Innerlijke vraag</w:t>
            </w:r>
          </w:p>
        </w:tc>
        <w:tc>
          <w:tcPr>
            <w:tcW w:type="dxa" w:w="3437"/>
            <w:vAlign w:val="center"/>
          </w:tcPr>
          <w:p>
            <w:pPr>
              <w:spacing w:after="0"/>
              <w:jc w:val="left"/>
            </w:pPr>
            <w:r/>
            <w:r>
              <w:rPr>
                <w:rFonts w:ascii="Arial" w:hAnsi="Arial"/>
                <w:b w:val="0"/>
                <w:sz w:val="18"/>
              </w:rPr>
              <w:t>Wat wil ik doen? Wat voelt prettig?</w:t>
            </w:r>
          </w:p>
        </w:tc>
        <w:tc>
          <w:tcPr>
            <w:tcW w:type="dxa" w:w="3437"/>
            <w:vAlign w:val="center"/>
          </w:tcPr>
          <w:p>
            <w:pPr>
              <w:spacing w:after="0"/>
              <w:jc w:val="left"/>
            </w:pPr>
            <w:r/>
            <w:r>
              <w:rPr>
                <w:rFonts w:ascii="Arial" w:hAnsi="Arial"/>
                <w:b w:val="0"/>
                <w:sz w:val="18"/>
              </w:rPr>
              <w:t>Wat moet ik doen? Wat is juist?</w:t>
            </w:r>
          </w:p>
        </w:tc>
      </w:tr>
      <w:tr>
        <w:trPr>
          <w:cantSplit/>
        </w:trPr>
        <w:tc>
          <w:tcPr>
            <w:tcW w:type="dxa" w:w="3437"/>
            <w:vAlign w:val="center"/>
          </w:tcPr>
          <w:p>
            <w:pPr>
              <w:spacing w:after="0"/>
              <w:jc w:val="left"/>
            </w:pPr>
            <w:r/>
            <w:r>
              <w:rPr>
                <w:rFonts w:ascii="Arial" w:hAnsi="Arial"/>
                <w:b w:val="0"/>
                <w:sz w:val="18"/>
              </w:rPr>
              <w:t>Besliscriterium</w:t>
            </w:r>
          </w:p>
        </w:tc>
        <w:tc>
          <w:tcPr>
            <w:tcW w:type="dxa" w:w="3437"/>
            <w:vAlign w:val="center"/>
          </w:tcPr>
          <w:p>
            <w:pPr>
              <w:spacing w:after="0"/>
              <w:jc w:val="left"/>
            </w:pPr>
            <w:r/>
            <w:r>
              <w:rPr>
                <w:rFonts w:ascii="Arial" w:hAnsi="Arial"/>
                <w:b w:val="0"/>
                <w:sz w:val="18"/>
              </w:rPr>
              <w:t>Wat werkt en gaat makkelijk?</w:t>
            </w:r>
          </w:p>
        </w:tc>
        <w:tc>
          <w:tcPr>
            <w:tcW w:type="dxa" w:w="3437"/>
            <w:vAlign w:val="center"/>
          </w:tcPr>
          <w:p>
            <w:pPr>
              <w:spacing w:after="0"/>
              <w:jc w:val="left"/>
            </w:pPr>
            <w:r/>
            <w:r>
              <w:rPr>
                <w:rFonts w:ascii="Arial" w:hAnsi="Arial"/>
                <w:b w:val="0"/>
                <w:sz w:val="18"/>
              </w:rPr>
              <w:t>Wat is verstandig en zinvol?</w:t>
            </w:r>
          </w:p>
        </w:tc>
      </w:tr>
      <w:tr>
        <w:trPr>
          <w:cantSplit/>
        </w:trPr>
        <w:tc>
          <w:tcPr>
            <w:tcW w:type="dxa" w:w="3437"/>
            <w:vAlign w:val="center"/>
          </w:tcPr>
          <w:p>
            <w:pPr>
              <w:spacing w:after="0"/>
              <w:jc w:val="left"/>
            </w:pPr>
            <w:r/>
            <w:r>
              <w:rPr>
                <w:rFonts w:ascii="Arial" w:hAnsi="Arial"/>
                <w:b w:val="0"/>
                <w:sz w:val="18"/>
              </w:rPr>
              <w:t>Bron</w:t>
            </w:r>
          </w:p>
        </w:tc>
        <w:tc>
          <w:tcPr>
            <w:tcW w:type="dxa" w:w="3437"/>
            <w:vAlign w:val="center"/>
          </w:tcPr>
          <w:p>
            <w:pPr>
              <w:spacing w:after="0"/>
              <w:jc w:val="left"/>
            </w:pPr>
            <w:r/>
            <w:r>
              <w:rPr>
                <w:rFonts w:ascii="Arial" w:hAnsi="Arial"/>
                <w:b w:val="0"/>
                <w:sz w:val="18"/>
              </w:rPr>
              <w:t>Natuurlijke gedragsvoorkeur en behoefte</w:t>
            </w:r>
          </w:p>
        </w:tc>
        <w:tc>
          <w:tcPr>
            <w:tcW w:type="dxa" w:w="3437"/>
            <w:vAlign w:val="center"/>
          </w:tcPr>
          <w:p>
            <w:pPr>
              <w:spacing w:after="0"/>
              <w:jc w:val="left"/>
            </w:pPr>
            <w:r/>
            <w:r>
              <w:rPr>
                <w:rFonts w:ascii="Arial" w:hAnsi="Arial"/>
                <w:b w:val="0"/>
                <w:sz w:val="18"/>
              </w:rPr>
              <w:t>Normen, principes en overtuigingen</w:t>
            </w:r>
          </w:p>
        </w:tc>
      </w:tr>
      <w:tr>
        <w:trPr>
          <w:cantSplit/>
        </w:trPr>
        <w:tc>
          <w:tcPr>
            <w:tcW w:type="dxa" w:w="3437"/>
            <w:vAlign w:val="center"/>
          </w:tcPr>
          <w:p>
            <w:pPr>
              <w:spacing w:after="0"/>
              <w:jc w:val="left"/>
            </w:pPr>
            <w:r/>
            <w:r>
              <w:rPr>
                <w:rFonts w:ascii="Arial" w:hAnsi="Arial"/>
                <w:b w:val="0"/>
                <w:sz w:val="18"/>
              </w:rPr>
              <w:t>Onder druk</w:t>
            </w:r>
          </w:p>
        </w:tc>
        <w:tc>
          <w:tcPr>
            <w:tcW w:type="dxa" w:w="3437"/>
            <w:vAlign w:val="center"/>
          </w:tcPr>
          <w:p>
            <w:pPr>
              <w:spacing w:after="0"/>
              <w:jc w:val="left"/>
            </w:pPr>
            <w:r/>
            <w:r>
              <w:rPr>
                <w:rFonts w:ascii="Arial" w:hAnsi="Arial"/>
                <w:b w:val="0"/>
                <w:sz w:val="18"/>
              </w:rPr>
              <w:t>Eerste automatische reactie vaak sterker</w:t>
            </w:r>
          </w:p>
        </w:tc>
        <w:tc>
          <w:tcPr>
            <w:tcW w:type="dxa" w:w="3437"/>
            <w:vAlign w:val="center"/>
          </w:tcPr>
          <w:p>
            <w:pPr>
              <w:spacing w:after="0"/>
              <w:jc w:val="left"/>
            </w:pPr>
            <w:r/>
            <w:r>
              <w:rPr>
                <w:rFonts w:ascii="Arial" w:hAnsi="Arial"/>
                <w:b w:val="0"/>
                <w:sz w:val="18"/>
              </w:rPr>
              <w:t>Kan reactie corrigeren bij voldoende helderheid en intensiteit</w:t>
            </w:r>
          </w:p>
        </w:tc>
      </w:tr>
    </w:tbl>
    <w:p>
      <w:pPr>
        <w:pStyle w:val="Bron"/>
      </w:pPr>
      <w:r>
        <w:t>Bron: Certificatiepresentatie 2019, dia over verschil tussen behoeftegedreven en waardengedreven gedrag; Handboek 2018, concept 2.</w:t>
      </w:r>
    </w:p>
    <w:p>
      <w:pPr>
        <w:pStyle w:val="Heading1"/>
      </w:pPr>
      <w:r>
        <w:t>4. Vier waardenperspectieven</w:t>
      </w:r>
    </w:p>
    <w:p>
      <w:pPr>
        <w:pStyle w:val="Heading2"/>
      </w:pPr>
      <w:r>
        <w:t>Type I - autonomie en vrijheid</w:t>
      </w:r>
    </w:p>
    <w:p>
      <w:r>
        <w:rPr>
          <w:b/>
        </w:rPr>
        <w:t xml:space="preserve">Officiele kern: </w:t>
      </w:r>
      <w:r>
        <w:t>Ik-gericht; eigen belangen en persoonlijke doelen voorop. Persoon neemt zelf verantwoordelijkheid voor welzijn, wil autonoom beslissen en eigen weg volgen. Vrijheid van handelen motiveert. Opgelegde regels, verplichtingen en verwachtingen die eigen belang beperken demotiveren. Vertrouwen in motieven van anderen is aanvankelijk beperkt.</w:t>
      </w:r>
    </w:p>
    <w:p>
      <w:r>
        <w:rPr>
          <w:b/>
        </w:rPr>
        <w:t xml:space="preserve">Modelpositie: </w:t>
      </w:r>
      <w:r>
        <w:t>Persoonlijke rechten; zelfbehoud en voldoening; persoonlijke inzet.</w:t>
      </w:r>
    </w:p>
    <w:p>
      <w:pPr>
        <w:pStyle w:val="Heading2"/>
      </w:pPr>
      <w:r>
        <w:t>Type II - harmonie en mogelijkheden</w:t>
      </w:r>
    </w:p>
    <w:p>
      <w:r>
        <w:rPr>
          <w:b/>
        </w:rPr>
        <w:t xml:space="preserve">Officiele kern: </w:t>
      </w:r>
      <w:r>
        <w:t>Ik-gericht; persoonlijke groei en geluk voorop, maar bereikt via gezamenlijke inzet. Gelooft in kansen en ontwikkeling. Heeft anderen, sociale goedkeuring en harmonie nodig. Conflict ontstaat wanneer eigen geluk niet samengaat met geluk van omgeving.</w:t>
      </w:r>
    </w:p>
    <w:p>
      <w:r>
        <w:rPr>
          <w:b/>
        </w:rPr>
        <w:t xml:space="preserve">Modelpositie: </w:t>
      </w:r>
      <w:r>
        <w:t>Eigen rechten plus rechten van anderen; zelfontplooiing en geluk; gezamenlijke inzet.</w:t>
      </w:r>
    </w:p>
    <w:p>
      <w:pPr>
        <w:pStyle w:val="Heading2"/>
      </w:pPr>
      <w:r>
        <w:t>Type III - verantwoordelijkheid en loyaliteit</w:t>
      </w:r>
    </w:p>
    <w:p>
      <w:r>
        <w:rPr>
          <w:b/>
        </w:rPr>
        <w:t xml:space="preserve">Officiele kern: </w:t>
      </w:r>
      <w:r>
        <w:t>Wij-gericht; gezamenlijke doelen boven individueel belang. Wil verantwoord leven, bijdragen aan groter doel en gezamenlijke waarden beschermen. Loyaliteit, integriteit, betrokkenheid, traditie, duidelijke kaders en sociaal respect zijn belangrijk.</w:t>
      </w:r>
    </w:p>
    <w:p>
      <w:r>
        <w:rPr>
          <w:b/>
        </w:rPr>
        <w:t xml:space="preserve">Modelpositie: </w:t>
      </w:r>
      <w:r>
        <w:t>Gezamenlijke doelen; gezamenlijke inzet; verantwoordelijkheid, respect en groepsnormen.</w:t>
      </w:r>
    </w:p>
    <w:p>
      <w:pPr>
        <w:pStyle w:val="Heading2"/>
      </w:pPr>
      <w:r>
        <w:t>Type IV - rechtvaardigheid en gezamenlijkheid</w:t>
      </w:r>
    </w:p>
    <w:p>
      <w:r>
        <w:rPr>
          <w:b/>
        </w:rPr>
        <w:t xml:space="preserve">Officiele kern: </w:t>
      </w:r>
      <w:r>
        <w:t>Wij-gericht; gezamenlijke verantwoordelijkheid en recht van ieder om beste uit leven te halen. Praktische idealist. Handelt volgens geweten en overtuigingen, verbindt mensen en belangen en zoekt innerlijke harmonie. Concrete, vaak stille persoonlijke actie moet bijdragen aan betere wereld.</w:t>
      </w:r>
    </w:p>
    <w:p>
      <w:r>
        <w:rPr>
          <w:b/>
        </w:rPr>
        <w:t xml:space="preserve">Modelpositie: </w:t>
      </w:r>
      <w:r>
        <w:t>Gezamenlijke doelen; persoonlijke inzet; principes, rechtvaardigheid en innerlijke congruentie.</w:t>
      </w:r>
    </w:p>
    <w:p>
      <w:pPr>
        <w:pStyle w:val="Bron"/>
      </w:pPr>
      <w:r>
        <w:t>Bron: Typebeschrijvingen 2025; modelpositie aangevuld uit certificatiepresentatie 2019 en handboek 2018.</w:t>
      </w:r>
    </w:p>
    <w:p>
      <w:pPr>
        <w:pStyle w:val="Heading1"/>
      </w:pPr>
      <w:r>
        <w:t>5. Doelen en inzet</w:t>
      </w:r>
    </w:p>
    <w:p>
      <w:r>
        <w:t>Doel = wat persoon uiteindelijk wil bereiken. Inzet = manier en middelen waarmee doel wordt bereikt.</w:t>
      </w:r>
    </w:p>
    <w:tbl>
      <w:tblPr>
        <w:tblStyle w:val="TableGrid"/>
        <w:tblW w:type="auto" w:w="0"/>
        <w:jc w:val="center"/>
        <w:tblLook w:firstColumn="1" w:firstRow="1" w:lastColumn="0" w:lastRow="0" w:noHBand="0" w:noVBand="1" w:val="04A0"/>
      </w:tblPr>
      <w:tblGrid>
        <w:gridCol w:w="2578"/>
        <w:gridCol w:w="2578"/>
        <w:gridCol w:w="2578"/>
        <w:gridCol w:w="2578"/>
      </w:tblGrid>
      <w:tr>
        <w:trPr>
          <w:cantSplit/>
        </w:trPr>
        <w:tc>
          <w:tcPr>
            <w:tcW w:type="dxa" w:w="2578"/>
            <w:vAlign w:val="center"/>
            <w:shd w:fill="1F4E79"/>
          </w:tcPr>
          <w:p>
            <w:pPr>
              <w:spacing w:after="0"/>
              <w:jc w:val="center"/>
            </w:pPr>
            <w:r/>
            <w:r>
              <w:rPr>
                <w:rFonts w:ascii="Arial" w:hAnsi="Arial"/>
                <w:b/>
                <w:color w:val="FFFFFF"/>
                <w:sz w:val="18"/>
              </w:rPr>
              <w:t>Type</w:t>
            </w:r>
          </w:p>
        </w:tc>
        <w:tc>
          <w:tcPr>
            <w:tcW w:type="dxa" w:w="2578"/>
            <w:vAlign w:val="center"/>
            <w:shd w:fill="1F4E79"/>
          </w:tcPr>
          <w:p>
            <w:pPr>
              <w:spacing w:after="0"/>
              <w:jc w:val="center"/>
            </w:pPr>
            <w:r/>
            <w:r>
              <w:rPr>
                <w:rFonts w:ascii="Arial" w:hAnsi="Arial"/>
                <w:b/>
                <w:color w:val="FFFFFF"/>
                <w:sz w:val="18"/>
              </w:rPr>
              <w:t>Doel</w:t>
            </w:r>
          </w:p>
        </w:tc>
        <w:tc>
          <w:tcPr>
            <w:tcW w:type="dxa" w:w="2578"/>
            <w:vAlign w:val="center"/>
            <w:shd w:fill="1F4E79"/>
          </w:tcPr>
          <w:p>
            <w:pPr>
              <w:spacing w:after="0"/>
              <w:jc w:val="center"/>
            </w:pPr>
            <w:r/>
            <w:r>
              <w:rPr>
                <w:rFonts w:ascii="Arial" w:hAnsi="Arial"/>
                <w:b/>
                <w:color w:val="FFFFFF"/>
                <w:sz w:val="18"/>
              </w:rPr>
              <w:t>Inzet</w:t>
            </w:r>
          </w:p>
        </w:tc>
        <w:tc>
          <w:tcPr>
            <w:tcW w:type="dxa" w:w="2578"/>
            <w:vAlign w:val="center"/>
            <w:shd w:fill="1F4E79"/>
          </w:tcPr>
          <w:p>
            <w:pPr>
              <w:spacing w:after="0"/>
              <w:jc w:val="center"/>
            </w:pPr>
            <w:r/>
            <w:r>
              <w:rPr>
                <w:rFonts w:ascii="Arial" w:hAnsi="Arial"/>
                <w:b/>
                <w:color w:val="FFFFFF"/>
                <w:sz w:val="18"/>
              </w:rPr>
              <w:t>Kernlogica</w:t>
            </w:r>
          </w:p>
        </w:tc>
      </w:tr>
      <w:tr>
        <w:trPr>
          <w:cantSplit/>
        </w:trPr>
        <w:tc>
          <w:tcPr>
            <w:tcW w:type="dxa" w:w="2578"/>
            <w:vAlign w:val="center"/>
          </w:tcPr>
          <w:p>
            <w:pPr>
              <w:spacing w:after="0"/>
              <w:jc w:val="left"/>
            </w:pPr>
            <w:r/>
            <w:r>
              <w:rPr>
                <w:rFonts w:ascii="Arial" w:hAnsi="Arial"/>
                <w:b w:val="0"/>
                <w:sz w:val="18"/>
              </w:rPr>
              <w:t>I</w:t>
            </w:r>
          </w:p>
        </w:tc>
        <w:tc>
          <w:tcPr>
            <w:tcW w:type="dxa" w:w="2578"/>
            <w:vAlign w:val="center"/>
          </w:tcPr>
          <w:p>
            <w:pPr>
              <w:spacing w:after="0"/>
              <w:jc w:val="left"/>
            </w:pPr>
            <w:r/>
            <w:r>
              <w:rPr>
                <w:rFonts w:ascii="Arial" w:hAnsi="Arial"/>
                <w:b w:val="0"/>
                <w:sz w:val="18"/>
              </w:rPr>
              <w:t>Persoonlijk</w:t>
            </w:r>
          </w:p>
        </w:tc>
        <w:tc>
          <w:tcPr>
            <w:tcW w:type="dxa" w:w="2578"/>
            <w:vAlign w:val="center"/>
          </w:tcPr>
          <w:p>
            <w:pPr>
              <w:spacing w:after="0"/>
              <w:jc w:val="left"/>
            </w:pPr>
            <w:r/>
            <w:r>
              <w:rPr>
                <w:rFonts w:ascii="Arial" w:hAnsi="Arial"/>
                <w:b w:val="0"/>
                <w:sz w:val="18"/>
              </w:rPr>
              <w:t>Persoonlijk</w:t>
            </w:r>
          </w:p>
        </w:tc>
        <w:tc>
          <w:tcPr>
            <w:tcW w:type="dxa" w:w="2578"/>
            <w:vAlign w:val="center"/>
          </w:tcPr>
          <w:p>
            <w:pPr>
              <w:spacing w:after="0"/>
              <w:jc w:val="left"/>
            </w:pPr>
            <w:r/>
            <w:r>
              <w:rPr>
                <w:rFonts w:ascii="Arial" w:hAnsi="Arial"/>
                <w:b w:val="0"/>
                <w:sz w:val="18"/>
              </w:rPr>
              <w:t>Mijn doel, mijn route.</w:t>
            </w:r>
          </w:p>
        </w:tc>
      </w:tr>
      <w:tr>
        <w:trPr>
          <w:cantSplit/>
        </w:trPr>
        <w:tc>
          <w:tcPr>
            <w:tcW w:type="dxa" w:w="2578"/>
            <w:vAlign w:val="center"/>
          </w:tcPr>
          <w:p>
            <w:pPr>
              <w:spacing w:after="0"/>
              <w:jc w:val="left"/>
            </w:pPr>
            <w:r/>
            <w:r>
              <w:rPr>
                <w:rFonts w:ascii="Arial" w:hAnsi="Arial"/>
                <w:b w:val="0"/>
                <w:sz w:val="18"/>
              </w:rPr>
              <w:t>II</w:t>
            </w:r>
          </w:p>
        </w:tc>
        <w:tc>
          <w:tcPr>
            <w:tcW w:type="dxa" w:w="2578"/>
            <w:vAlign w:val="center"/>
          </w:tcPr>
          <w:p>
            <w:pPr>
              <w:spacing w:after="0"/>
              <w:jc w:val="left"/>
            </w:pPr>
            <w:r/>
            <w:r>
              <w:rPr>
                <w:rFonts w:ascii="Arial" w:hAnsi="Arial"/>
                <w:b w:val="0"/>
                <w:sz w:val="18"/>
              </w:rPr>
              <w:t>Persoonlijk</w:t>
            </w:r>
          </w:p>
        </w:tc>
        <w:tc>
          <w:tcPr>
            <w:tcW w:type="dxa" w:w="2578"/>
            <w:vAlign w:val="center"/>
          </w:tcPr>
          <w:p>
            <w:pPr>
              <w:spacing w:after="0"/>
              <w:jc w:val="left"/>
            </w:pPr>
            <w:r/>
            <w:r>
              <w:rPr>
                <w:rFonts w:ascii="Arial" w:hAnsi="Arial"/>
                <w:b w:val="0"/>
                <w:sz w:val="18"/>
              </w:rPr>
              <w:t>Gezamenlijk</w:t>
            </w:r>
          </w:p>
        </w:tc>
        <w:tc>
          <w:tcPr>
            <w:tcW w:type="dxa" w:w="2578"/>
            <w:vAlign w:val="center"/>
          </w:tcPr>
          <w:p>
            <w:pPr>
              <w:spacing w:after="0"/>
              <w:jc w:val="left"/>
            </w:pPr>
            <w:r/>
            <w:r>
              <w:rPr>
                <w:rFonts w:ascii="Arial" w:hAnsi="Arial"/>
                <w:b w:val="0"/>
                <w:sz w:val="18"/>
              </w:rPr>
              <w:t>Mijn groei en geluk, samen met anderen.</w:t>
            </w:r>
          </w:p>
        </w:tc>
      </w:tr>
      <w:tr>
        <w:trPr>
          <w:cantSplit/>
        </w:trPr>
        <w:tc>
          <w:tcPr>
            <w:tcW w:type="dxa" w:w="2578"/>
            <w:vAlign w:val="center"/>
          </w:tcPr>
          <w:p>
            <w:pPr>
              <w:spacing w:after="0"/>
              <w:jc w:val="left"/>
            </w:pPr>
            <w:r/>
            <w:r>
              <w:rPr>
                <w:rFonts w:ascii="Arial" w:hAnsi="Arial"/>
                <w:b w:val="0"/>
                <w:sz w:val="18"/>
              </w:rPr>
              <w:t>III</w:t>
            </w:r>
          </w:p>
        </w:tc>
        <w:tc>
          <w:tcPr>
            <w:tcW w:type="dxa" w:w="2578"/>
            <w:vAlign w:val="center"/>
          </w:tcPr>
          <w:p>
            <w:pPr>
              <w:spacing w:after="0"/>
              <w:jc w:val="left"/>
            </w:pPr>
            <w:r/>
            <w:r>
              <w:rPr>
                <w:rFonts w:ascii="Arial" w:hAnsi="Arial"/>
                <w:b w:val="0"/>
                <w:sz w:val="18"/>
              </w:rPr>
              <w:t>Gezamenlijk</w:t>
            </w:r>
          </w:p>
        </w:tc>
        <w:tc>
          <w:tcPr>
            <w:tcW w:type="dxa" w:w="2578"/>
            <w:vAlign w:val="center"/>
          </w:tcPr>
          <w:p>
            <w:pPr>
              <w:spacing w:after="0"/>
              <w:jc w:val="left"/>
            </w:pPr>
            <w:r/>
            <w:r>
              <w:rPr>
                <w:rFonts w:ascii="Arial" w:hAnsi="Arial"/>
                <w:b w:val="0"/>
                <w:sz w:val="18"/>
              </w:rPr>
              <w:t>Gezamenlijk</w:t>
            </w:r>
          </w:p>
        </w:tc>
        <w:tc>
          <w:tcPr>
            <w:tcW w:type="dxa" w:w="2578"/>
            <w:vAlign w:val="center"/>
          </w:tcPr>
          <w:p>
            <w:pPr>
              <w:spacing w:after="0"/>
              <w:jc w:val="left"/>
            </w:pPr>
            <w:r/>
            <w:r>
              <w:rPr>
                <w:rFonts w:ascii="Arial" w:hAnsi="Arial"/>
                <w:b w:val="0"/>
                <w:sz w:val="18"/>
              </w:rPr>
              <w:t>Ons doel, ieder levert bijdrage.</w:t>
            </w:r>
          </w:p>
        </w:tc>
      </w:tr>
      <w:tr>
        <w:trPr>
          <w:cantSplit/>
        </w:trPr>
        <w:tc>
          <w:tcPr>
            <w:tcW w:type="dxa" w:w="2578"/>
            <w:vAlign w:val="center"/>
          </w:tcPr>
          <w:p>
            <w:pPr>
              <w:spacing w:after="0"/>
              <w:jc w:val="left"/>
            </w:pPr>
            <w:r/>
            <w:r>
              <w:rPr>
                <w:rFonts w:ascii="Arial" w:hAnsi="Arial"/>
                <w:b w:val="0"/>
                <w:sz w:val="18"/>
              </w:rPr>
              <w:t>IV</w:t>
            </w:r>
          </w:p>
        </w:tc>
        <w:tc>
          <w:tcPr>
            <w:tcW w:type="dxa" w:w="2578"/>
            <w:vAlign w:val="center"/>
          </w:tcPr>
          <w:p>
            <w:pPr>
              <w:spacing w:after="0"/>
              <w:jc w:val="left"/>
            </w:pPr>
            <w:r/>
            <w:r>
              <w:rPr>
                <w:rFonts w:ascii="Arial" w:hAnsi="Arial"/>
                <w:b w:val="0"/>
                <w:sz w:val="18"/>
              </w:rPr>
              <w:t>Gezamenlijk</w:t>
            </w:r>
          </w:p>
        </w:tc>
        <w:tc>
          <w:tcPr>
            <w:tcW w:type="dxa" w:w="2578"/>
            <w:vAlign w:val="center"/>
          </w:tcPr>
          <w:p>
            <w:pPr>
              <w:spacing w:after="0"/>
              <w:jc w:val="left"/>
            </w:pPr>
            <w:r/>
            <w:r>
              <w:rPr>
                <w:rFonts w:ascii="Arial" w:hAnsi="Arial"/>
                <w:b w:val="0"/>
                <w:sz w:val="18"/>
              </w:rPr>
              <w:t>Persoonlijk</w:t>
            </w:r>
          </w:p>
        </w:tc>
        <w:tc>
          <w:tcPr>
            <w:tcW w:type="dxa" w:w="2578"/>
            <w:vAlign w:val="center"/>
          </w:tcPr>
          <w:p>
            <w:pPr>
              <w:spacing w:after="0"/>
              <w:jc w:val="left"/>
            </w:pPr>
            <w:r/>
            <w:r>
              <w:rPr>
                <w:rFonts w:ascii="Arial" w:hAnsi="Arial"/>
                <w:b w:val="0"/>
                <w:sz w:val="18"/>
              </w:rPr>
              <w:t>Betere gezamenlijke uitkomst door persoonlijk handelen vanuit principes.</w:t>
            </w:r>
          </w:p>
        </w:tc>
      </w:tr>
    </w:tbl>
    <w:tbl>
      <w:tblPr>
        <w:tblW w:type="auto" w:w="0"/>
        <w:jc w:val="center"/>
        <w:tblLayout w:type="autofit"/>
        <w:tblLook w:firstColumn="1" w:firstRow="1" w:lastColumn="0" w:lastRow="0" w:noHBand="0" w:noVBand="1" w:val="04A0"/>
      </w:tblPr>
      <w:tblGrid>
        <w:gridCol w:w="10312"/>
      </w:tblGrid>
      <w:tr>
        <w:tc>
          <w:tcPr>
            <w:tcW w:type="dxa" w:w="10312"/>
            <w:shd w:fill="FFF2CC"/>
          </w:tcPr>
          <w:p>
            <w:pPr>
              <w:spacing w:after="60"/>
            </w:pPr>
            <w:r>
              <w:rPr>
                <w:rFonts w:ascii="Arial" w:hAnsi="Arial"/>
                <w:b/>
                <w:color w:val="1F4E79"/>
                <w:sz w:val="21"/>
              </w:rPr>
              <w:t>Belangrijke nuance</w:t>
              <w:br/>
            </w:r>
            <w:r>
              <w:rPr>
                <w:rFonts w:ascii="Arial" w:hAnsi="Arial"/>
                <w:sz w:val="19"/>
              </w:rPr>
              <w:t>Type II is niet primair altruistisch: persoonlijk geluk blijft doel. Type IV is niet passief idealistisch: persoonlijke inzet en concrete actie zijn juist centraal.</w:t>
            </w:r>
          </w:p>
        </w:tc>
      </w:tr>
    </w:tbl>
    <w:p>
      <w:pPr>
        <w:spacing w:after="0"/>
      </w:pPr>
    </w:p>
    <w:p>
      <w:pPr>
        <w:pStyle w:val="Heading1"/>
      </w:pPr>
      <w:r>
        <w:t>6. Helderheid, intensiteit, conflict en mengvormen</w:t>
      </w:r>
    </w:p>
    <w:p>
      <w:pPr>
        <w:pStyle w:val="Heading2"/>
      </w:pPr>
      <w:r>
        <w:t>6.1 Helderheid</w:t>
      </w:r>
    </w:p>
    <w:p>
      <w:r>
        <w:t>Helderheid beschrijft hoe duidelijk waardenperspectief uit profiel naar voren komt. Hoge helderheid verhoogt kans dat persoon vanuit waarden handelt. Lage helderheid verhoogt kans dat natuurlijke DISC-behoeften gedrag sterker sturen.</w:t>
      </w:r>
    </w:p>
    <w:p>
      <w:pPr>
        <w:pStyle w:val="ListBullet"/>
        <w:spacing w:after="40"/>
      </w:pPr>
      <w:r>
        <w:t>Hoge helderheid: een duidelijke hoge typescore, eventueel met aangrenzende tweede score.</w:t>
      </w:r>
    </w:p>
    <w:p>
      <w:pPr>
        <w:pStyle w:val="ListBullet"/>
        <w:spacing w:after="40"/>
      </w:pPr>
      <w:r>
        <w:t>Lage helderheid: geen duidelijke hoge score, drie of vier hoge scores, of typen ongeveer gelijk.</w:t>
      </w:r>
    </w:p>
    <w:p>
      <w:pPr>
        <w:pStyle w:val="ListBullet"/>
        <w:spacing w:after="40"/>
      </w:pPr>
      <w:r>
        <w:t>Type I + II kan helder zijn als aangrenzende combinatie; Type I + IV niet automatisch.</w:t>
      </w:r>
    </w:p>
    <w:p>
      <w:pPr>
        <w:pStyle w:val="Heading2"/>
      </w:pPr>
      <w:r>
        <w:t>6.2 Intensiteit</w:t>
      </w:r>
    </w:p>
    <w:p>
      <w:r>
        <w:t>Intensiteit beschrijft sterkte en stelligheid van antwoorden. Hoge intensiteit betekent sterke overtuigingskracht; niet automatisch hoge helderheid.</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3437"/>
            <w:vAlign w:val="center"/>
            <w:shd w:fill="1F4E79"/>
          </w:tcPr>
          <w:p>
            <w:pPr>
              <w:spacing w:after="0"/>
              <w:jc w:val="center"/>
            </w:pPr>
            <w:r/>
            <w:r>
              <w:rPr>
                <w:rFonts w:ascii="Arial" w:hAnsi="Arial"/>
                <w:b/>
                <w:color w:val="FFFFFF"/>
                <w:sz w:val="18"/>
              </w:rPr>
              <w:t>Helderheid</w:t>
            </w:r>
          </w:p>
        </w:tc>
        <w:tc>
          <w:tcPr>
            <w:tcW w:type="dxa" w:w="3437"/>
            <w:vAlign w:val="center"/>
            <w:shd w:fill="1F4E79"/>
          </w:tcPr>
          <w:p>
            <w:pPr>
              <w:spacing w:after="0"/>
              <w:jc w:val="center"/>
            </w:pPr>
            <w:r/>
            <w:r>
              <w:rPr>
                <w:rFonts w:ascii="Arial" w:hAnsi="Arial"/>
                <w:b/>
                <w:color w:val="FFFFFF"/>
                <w:sz w:val="18"/>
              </w:rPr>
              <w:t>Intensiteit</w:t>
            </w:r>
          </w:p>
        </w:tc>
        <w:tc>
          <w:tcPr>
            <w:tcW w:type="dxa" w:w="3437"/>
            <w:vAlign w:val="center"/>
            <w:shd w:fill="1F4E79"/>
          </w:tcPr>
          <w:p>
            <w:pPr>
              <w:spacing w:after="0"/>
              <w:jc w:val="center"/>
            </w:pPr>
            <w:r/>
            <w:r>
              <w:rPr>
                <w:rFonts w:ascii="Arial" w:hAnsi="Arial"/>
                <w:b/>
                <w:color w:val="FFFFFF"/>
                <w:sz w:val="18"/>
              </w:rPr>
              <w:t>Interpretatie</w:t>
            </w:r>
          </w:p>
        </w:tc>
      </w:tr>
      <w:tr>
        <w:trPr>
          <w:cantSplit/>
        </w:trPr>
        <w:tc>
          <w:tcPr>
            <w:tcW w:type="dxa" w:w="3437"/>
            <w:vAlign w:val="center"/>
          </w:tcPr>
          <w:p>
            <w:pPr>
              <w:spacing w:after="0"/>
              <w:jc w:val="left"/>
            </w:pPr>
            <w:r/>
            <w:r>
              <w:rPr>
                <w:rFonts w:ascii="Arial" w:hAnsi="Arial"/>
                <w:b w:val="0"/>
                <w:sz w:val="17"/>
              </w:rPr>
              <w:t>Hoog</w:t>
            </w:r>
          </w:p>
        </w:tc>
        <w:tc>
          <w:tcPr>
            <w:tcW w:type="dxa" w:w="3437"/>
            <w:vAlign w:val="center"/>
          </w:tcPr>
          <w:p>
            <w:pPr>
              <w:spacing w:after="0"/>
              <w:jc w:val="left"/>
            </w:pPr>
            <w:r/>
            <w:r>
              <w:rPr>
                <w:rFonts w:ascii="Arial" w:hAnsi="Arial"/>
                <w:b w:val="0"/>
                <w:sz w:val="17"/>
              </w:rPr>
              <w:t>Hoog</w:t>
            </w:r>
          </w:p>
        </w:tc>
        <w:tc>
          <w:tcPr>
            <w:tcW w:type="dxa" w:w="3437"/>
            <w:vAlign w:val="center"/>
          </w:tcPr>
          <w:p>
            <w:pPr>
              <w:spacing w:after="0"/>
              <w:jc w:val="left"/>
            </w:pPr>
            <w:r/>
            <w:r>
              <w:rPr>
                <w:rFonts w:ascii="Arial" w:hAnsi="Arial"/>
                <w:b w:val="0"/>
                <w:sz w:val="17"/>
              </w:rPr>
              <w:t>Duidelijke richting, sterk verdedigd.</w:t>
            </w:r>
          </w:p>
        </w:tc>
      </w:tr>
      <w:tr>
        <w:trPr>
          <w:cantSplit/>
        </w:trPr>
        <w:tc>
          <w:tcPr>
            <w:tcW w:type="dxa" w:w="3437"/>
            <w:vAlign w:val="center"/>
          </w:tcPr>
          <w:p>
            <w:pPr>
              <w:spacing w:after="0"/>
              <w:jc w:val="left"/>
            </w:pPr>
            <w:r/>
            <w:r>
              <w:rPr>
                <w:rFonts w:ascii="Arial" w:hAnsi="Arial"/>
                <w:b w:val="0"/>
                <w:sz w:val="17"/>
              </w:rPr>
              <w:t>Hoog</w:t>
            </w:r>
          </w:p>
        </w:tc>
        <w:tc>
          <w:tcPr>
            <w:tcW w:type="dxa" w:w="3437"/>
            <w:vAlign w:val="center"/>
          </w:tcPr>
          <w:p>
            <w:pPr>
              <w:spacing w:after="0"/>
              <w:jc w:val="left"/>
            </w:pPr>
            <w:r/>
            <w:r>
              <w:rPr>
                <w:rFonts w:ascii="Arial" w:hAnsi="Arial"/>
                <w:b w:val="0"/>
                <w:sz w:val="17"/>
              </w:rPr>
              <w:t>Laag</w:t>
            </w:r>
          </w:p>
        </w:tc>
        <w:tc>
          <w:tcPr>
            <w:tcW w:type="dxa" w:w="3437"/>
            <w:vAlign w:val="center"/>
          </w:tcPr>
          <w:p>
            <w:pPr>
              <w:spacing w:after="0"/>
              <w:jc w:val="left"/>
            </w:pPr>
            <w:r/>
            <w:r>
              <w:rPr>
                <w:rFonts w:ascii="Arial" w:hAnsi="Arial"/>
                <w:b w:val="0"/>
                <w:sz w:val="17"/>
              </w:rPr>
              <w:t>Duidelijke richting, minder stellig.</w:t>
            </w:r>
          </w:p>
        </w:tc>
      </w:tr>
      <w:tr>
        <w:trPr>
          <w:cantSplit/>
        </w:trPr>
        <w:tc>
          <w:tcPr>
            <w:tcW w:type="dxa" w:w="3437"/>
            <w:vAlign w:val="center"/>
          </w:tcPr>
          <w:p>
            <w:pPr>
              <w:spacing w:after="0"/>
              <w:jc w:val="left"/>
            </w:pPr>
            <w:r/>
            <w:r>
              <w:rPr>
                <w:rFonts w:ascii="Arial" w:hAnsi="Arial"/>
                <w:b w:val="0"/>
                <w:sz w:val="17"/>
              </w:rPr>
              <w:t>Laag</w:t>
            </w:r>
          </w:p>
        </w:tc>
        <w:tc>
          <w:tcPr>
            <w:tcW w:type="dxa" w:w="3437"/>
            <w:vAlign w:val="center"/>
          </w:tcPr>
          <w:p>
            <w:pPr>
              <w:spacing w:after="0"/>
              <w:jc w:val="left"/>
            </w:pPr>
            <w:r/>
            <w:r>
              <w:rPr>
                <w:rFonts w:ascii="Arial" w:hAnsi="Arial"/>
                <w:b w:val="0"/>
                <w:sz w:val="17"/>
              </w:rPr>
              <w:t>Hoog</w:t>
            </w:r>
          </w:p>
        </w:tc>
        <w:tc>
          <w:tcPr>
            <w:tcW w:type="dxa" w:w="3437"/>
            <w:vAlign w:val="center"/>
          </w:tcPr>
          <w:p>
            <w:pPr>
              <w:spacing w:after="0"/>
              <w:jc w:val="left"/>
            </w:pPr>
            <w:r/>
            <w:r>
              <w:rPr>
                <w:rFonts w:ascii="Arial" w:hAnsi="Arial"/>
                <w:b w:val="0"/>
                <w:sz w:val="17"/>
              </w:rPr>
              <w:t>Sterke overtuigingen verdeeld over meerdere perspectieven.</w:t>
            </w:r>
          </w:p>
        </w:tc>
      </w:tr>
      <w:tr>
        <w:trPr>
          <w:cantSplit/>
        </w:trPr>
        <w:tc>
          <w:tcPr>
            <w:tcW w:type="dxa" w:w="3437"/>
            <w:vAlign w:val="center"/>
          </w:tcPr>
          <w:p>
            <w:pPr>
              <w:spacing w:after="0"/>
              <w:jc w:val="left"/>
            </w:pPr>
            <w:r/>
            <w:r>
              <w:rPr>
                <w:rFonts w:ascii="Arial" w:hAnsi="Arial"/>
                <w:b w:val="0"/>
                <w:sz w:val="17"/>
              </w:rPr>
              <w:t>Laag</w:t>
            </w:r>
          </w:p>
        </w:tc>
        <w:tc>
          <w:tcPr>
            <w:tcW w:type="dxa" w:w="3437"/>
            <w:vAlign w:val="center"/>
          </w:tcPr>
          <w:p>
            <w:pPr>
              <w:spacing w:after="0"/>
              <w:jc w:val="left"/>
            </w:pPr>
            <w:r/>
            <w:r>
              <w:rPr>
                <w:rFonts w:ascii="Arial" w:hAnsi="Arial"/>
                <w:b w:val="0"/>
                <w:sz w:val="17"/>
              </w:rPr>
              <w:t>Laag</w:t>
            </w:r>
          </w:p>
        </w:tc>
        <w:tc>
          <w:tcPr>
            <w:tcW w:type="dxa" w:w="3437"/>
            <w:vAlign w:val="center"/>
          </w:tcPr>
          <w:p>
            <w:pPr>
              <w:spacing w:after="0"/>
              <w:jc w:val="left"/>
            </w:pPr>
            <w:r/>
            <w:r>
              <w:rPr>
                <w:rFonts w:ascii="Arial" w:hAnsi="Arial"/>
                <w:b w:val="0"/>
                <w:sz w:val="17"/>
              </w:rPr>
              <w:t>Minder vaste waardenrichting; context en behoeften sturen meer.</w:t>
            </w:r>
          </w:p>
        </w:tc>
      </w:tr>
    </w:tbl>
    <w:p>
      <w:pPr>
        <w:pStyle w:val="Heading2"/>
      </w:pPr>
      <w:r>
        <w:t>6.3 Waardenconflict en mengvormen</w:t>
      </w:r>
    </w:p>
    <w:p>
      <w:pPr>
        <w:pStyle w:val="ListBullet"/>
        <w:spacing w:after="40"/>
      </w:pPr>
      <w:r>
        <w:t>Waardenconflict: onduidelijke of botsende overtuigingen binnen persoon.</w:t>
      </w:r>
    </w:p>
    <w:p>
      <w:pPr>
        <w:pStyle w:val="ListBullet"/>
        <w:spacing w:after="40"/>
      </w:pPr>
      <w:r>
        <w:t>Klassieke mixen: aangrenzende typen I-II, II-III, III-IV.</w:t>
      </w:r>
    </w:p>
    <w:p>
      <w:pPr>
        <w:pStyle w:val="ListBullet"/>
        <w:spacing w:after="40"/>
      </w:pPr>
      <w:r>
        <w:t>Niet-klassieke mixen: I-III, I-IV, II-IV. Grotere afstand tussen doelen, inzet, rechten of verantwoordelijkheden kan meer interne spanning geven.</w:t>
      </w:r>
    </w:p>
    <w:p>
      <w:pPr>
        <w:pStyle w:val="ListBullet"/>
        <w:spacing w:after="40"/>
      </w:pPr>
      <w:r>
        <w:t>Persoon kan per thema ander waardenperspectief tonen; profiel is geen absoluut etiket.</w:t>
      </w:r>
    </w:p>
    <w:p>
      <w:pPr>
        <w:pStyle w:val="Bron"/>
      </w:pPr>
      <w:r>
        <w:t>Bron: Verdieping 2021, p.1; Handboek 2018, concept 4; Certificatiepresentatie 2019.</w:t>
      </w:r>
    </w:p>
    <w:p>
      <w:pPr>
        <w:pStyle w:val="Heading1"/>
      </w:pPr>
      <w:r>
        <w:t>7. DISC en waarden: versterking en verzwakking</w:t>
      </w:r>
    </w:p>
    <w:p>
      <w:r>
        <w:t>DISC beschrijft hoe persoon geneigd is te reageren. Waarden beschrijven waarom persoon bepaald gedrag juist of noodzakelijk vindt. Waarden kunnen zichtbare DISC-stijl versterken of verzachten.</w:t>
      </w:r>
    </w:p>
    <w:p>
      <w:pPr>
        <w:jc w:val="center"/>
      </w:pPr>
      <w:r>
        <w:drawing>
          <wp:inline xmlns:a="http://schemas.openxmlformats.org/drawingml/2006/main" xmlns:pic="http://schemas.openxmlformats.org/drawingml/2006/picture">
            <wp:extent cx="5832000" cy="4050000"/>
            <wp:docPr id="2" name="Picture 2"/>
            <wp:cNvGraphicFramePr>
              <a:graphicFrameLocks noChangeAspect="1"/>
            </wp:cNvGraphicFramePr>
            <a:graphic>
              <a:graphicData uri="http://schemas.openxmlformats.org/drawingml/2006/picture">
                <pic:pic>
                  <pic:nvPicPr>
                    <pic:cNvPr id="0" name="03_Matrix_invloed_Waarden_op_DISC.png"/>
                    <pic:cNvPicPr/>
                  </pic:nvPicPr>
                  <pic:blipFill>
                    <a:blip r:embed="rId11"/>
                    <a:stretch>
                      <a:fillRect/>
                    </a:stretch>
                  </pic:blipFill>
                  <pic:spPr>
                    <a:xfrm>
                      <a:off x="0" y="0"/>
                      <a:ext cx="5832000" cy="4050000"/>
                    </a:xfrm>
                    <a:prstGeom prst="rect"/>
                  </pic:spPr>
                </pic:pic>
              </a:graphicData>
            </a:graphic>
          </wp:inline>
        </w:drawing>
      </w:r>
    </w:p>
    <w:p>
      <w:pPr>
        <w:pStyle w:val="Bron"/>
      </w:pPr>
      <w:r>
        <w:t>Bron: Schema invloed WAARDEN en DISC, 2020. &gt; = versterkt; &lt; = verzwakt/verzacht.</w:t>
      </w:r>
    </w:p>
    <w:tbl>
      <w:tblPr>
        <w:tblW w:type="auto" w:w="0"/>
        <w:jc w:val="center"/>
        <w:tblLayout w:type="autofit"/>
        <w:tblLook w:firstColumn="1" w:firstRow="1" w:lastColumn="0" w:lastRow="0" w:noHBand="0" w:noVBand="1" w:val="04A0"/>
      </w:tblPr>
      <w:tblGrid>
        <w:gridCol w:w="10312"/>
      </w:tblGrid>
      <w:tr>
        <w:tc>
          <w:tcPr>
            <w:tcW w:type="dxa" w:w="10312"/>
            <w:shd w:fill="EAF2F8"/>
          </w:tcPr>
          <w:p>
            <w:pPr>
              <w:spacing w:after="60"/>
            </w:pPr>
            <w:r>
              <w:rPr>
                <w:rFonts w:ascii="Arial" w:hAnsi="Arial"/>
                <w:b/>
                <w:color w:val="1F4E79"/>
                <w:sz w:val="21"/>
              </w:rPr>
              <w:t>Leesregel</w:t>
              <w:br/>
            </w:r>
            <w:r>
              <w:rPr>
                <w:rFonts w:ascii="Arial" w:hAnsi="Arial"/>
                <w:sz w:val="19"/>
              </w:rPr>
              <w:t>Pijl beschrijft netto effect op zichtbare DISC-factor. Waarde verandert DISC-voorkeur niet, maar kan uiting versterken, remmen of anders richten.</w:t>
            </w:r>
          </w:p>
        </w:tc>
      </w:tr>
    </w:tbl>
    <w:p>
      <w:pPr>
        <w:spacing w:after="0"/>
      </w:pPr>
    </w:p>
    <w:p>
      <w:pPr>
        <w:pStyle w:val="Heading1"/>
      </w:pPr>
      <w:r>
        <w:t>8. Zestien DISC-waardencombinaties</w:t>
      </w:r>
    </w:p>
    <w:p>
      <w:r>
        <w:br w:type="page"/>
      </w:r>
    </w:p>
    <w:p>
      <w:pPr>
        <w:pStyle w:val="Heading2"/>
      </w:pPr>
      <w:r>
        <w:t>Hoge D-stijl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vAlign w:val="center"/>
            <w:shd w:fill="1F4E79"/>
          </w:tcPr>
          <w:p>
            <w:pPr>
              <w:spacing w:after="0"/>
              <w:jc w:val="center"/>
            </w:pPr>
            <w:r/>
            <w:r>
              <w:rPr>
                <w:rFonts w:ascii="Arial" w:hAnsi="Arial"/>
                <w:b/>
                <w:color w:val="FFFFFF"/>
                <w:sz w:val="17"/>
              </w:rPr>
              <w:t>Combinatie</w:t>
            </w:r>
          </w:p>
        </w:tc>
        <w:tc>
          <w:tcPr>
            <w:tcW w:type="dxa" w:w="2578"/>
            <w:vAlign w:val="center"/>
            <w:shd w:fill="1F4E79"/>
          </w:tcPr>
          <w:p>
            <w:pPr>
              <w:spacing w:after="0"/>
              <w:jc w:val="center"/>
            </w:pPr>
            <w:r/>
            <w:r>
              <w:rPr>
                <w:rFonts w:ascii="Arial" w:hAnsi="Arial"/>
                <w:b/>
                <w:color w:val="FFFFFF"/>
                <w:sz w:val="17"/>
              </w:rPr>
              <w:t>Netto</w:t>
            </w:r>
          </w:p>
        </w:tc>
        <w:tc>
          <w:tcPr>
            <w:tcW w:type="dxa" w:w="2578"/>
            <w:vAlign w:val="center"/>
            <w:shd w:fill="1F4E79"/>
          </w:tcPr>
          <w:p>
            <w:pPr>
              <w:spacing w:after="0"/>
              <w:jc w:val="center"/>
            </w:pPr>
            <w:r/>
            <w:r>
              <w:rPr>
                <w:rFonts w:ascii="Arial" w:hAnsi="Arial"/>
                <w:b/>
                <w:color w:val="FFFFFF"/>
                <w:sz w:val="17"/>
              </w:rPr>
              <w:t>Waarom</w:t>
            </w:r>
          </w:p>
        </w:tc>
        <w:tc>
          <w:tcPr>
            <w:tcW w:type="dxa" w:w="2578"/>
            <w:vAlign w:val="center"/>
            <w:shd w:fill="1F4E79"/>
          </w:tcPr>
          <w:p>
            <w:pPr>
              <w:spacing w:after="0"/>
              <w:jc w:val="center"/>
            </w:pPr>
            <w:r/>
            <w:r>
              <w:rPr>
                <w:rFonts w:ascii="Arial" w:hAnsi="Arial"/>
                <w:b/>
                <w:color w:val="FFFFFF"/>
                <w:sz w:val="17"/>
              </w:rPr>
              <w:t>Mogelijke uiting</w:t>
            </w:r>
          </w:p>
        </w:tc>
      </w:tr>
      <w:tr>
        <w:trPr>
          <w:cantSplit/>
        </w:trPr>
        <w:tc>
          <w:tcPr>
            <w:tcW w:type="dxa" w:w="2578"/>
            <w:vAlign w:val="center"/>
          </w:tcPr>
          <w:p>
            <w:pPr>
              <w:spacing w:after="0"/>
              <w:jc w:val="left"/>
            </w:pPr>
            <w:r/>
            <w:r>
              <w:rPr>
                <w:rFonts w:ascii="Arial" w:hAnsi="Arial"/>
                <w:b w:val="0"/>
                <w:sz w:val="16"/>
              </w:rPr>
              <w:t>D + I</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Directheid, doelgerichtheid en autonomie wijzen zelfde kant op.</w:t>
            </w:r>
          </w:p>
        </w:tc>
        <w:tc>
          <w:tcPr>
            <w:tcW w:type="dxa" w:w="2578"/>
            <w:vAlign w:val="center"/>
          </w:tcPr>
          <w:p>
            <w:pPr>
              <w:spacing w:after="0"/>
              <w:jc w:val="left"/>
            </w:pPr>
            <w:r/>
            <w:r>
              <w:rPr>
                <w:rFonts w:ascii="Arial" w:hAnsi="Arial"/>
                <w:b w:val="0"/>
                <w:sz w:val="16"/>
              </w:rPr>
              <w:t>Sterk eigen koers; confrontatie niet snel vermijden.</w:t>
            </w:r>
          </w:p>
        </w:tc>
      </w:tr>
      <w:tr>
        <w:trPr>
          <w:cantSplit/>
        </w:trPr>
        <w:tc>
          <w:tcPr>
            <w:tcW w:type="dxa" w:w="2578"/>
            <w:vAlign w:val="center"/>
          </w:tcPr>
          <w:p>
            <w:pPr>
              <w:spacing w:after="0"/>
              <w:jc w:val="left"/>
            </w:pPr>
            <w:r/>
            <w:r>
              <w:rPr>
                <w:rFonts w:ascii="Arial" w:hAnsi="Arial"/>
                <w:b w:val="0"/>
                <w:sz w:val="16"/>
              </w:rPr>
              <w:t>D + II</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Persoonlijke doelen blijven, maar harmonie en gezamenlijke inzet remmen harde directheid.</w:t>
            </w:r>
          </w:p>
        </w:tc>
        <w:tc>
          <w:tcPr>
            <w:tcW w:type="dxa" w:w="2578"/>
            <w:vAlign w:val="center"/>
          </w:tcPr>
          <w:p>
            <w:pPr>
              <w:spacing w:after="0"/>
              <w:jc w:val="left"/>
            </w:pPr>
            <w:r/>
            <w:r>
              <w:rPr>
                <w:rFonts w:ascii="Arial" w:hAnsi="Arial"/>
                <w:b w:val="0"/>
                <w:sz w:val="16"/>
              </w:rPr>
              <w:t>Direct reageren, daarna effect op relatie wegen; bij hoge helderheid eerder afstemmen.</w:t>
            </w:r>
          </w:p>
        </w:tc>
      </w:tr>
      <w:tr>
        <w:trPr>
          <w:cantSplit/>
        </w:trPr>
        <w:tc>
          <w:tcPr>
            <w:tcW w:type="dxa" w:w="2578"/>
            <w:vAlign w:val="center"/>
          </w:tcPr>
          <w:p>
            <w:pPr>
              <w:spacing w:after="0"/>
              <w:jc w:val="left"/>
            </w:pPr>
            <w:r/>
            <w:r>
              <w:rPr>
                <w:rFonts w:ascii="Arial" w:hAnsi="Arial"/>
                <w:b w:val="0"/>
                <w:sz w:val="16"/>
              </w:rPr>
              <w:t>D + III</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Directheid ondersteunt aanspreken op verantwoordelijkheid, afspraken en groepsbelang.</w:t>
            </w:r>
          </w:p>
        </w:tc>
        <w:tc>
          <w:tcPr>
            <w:tcW w:type="dxa" w:w="2578"/>
            <w:vAlign w:val="center"/>
          </w:tcPr>
          <w:p>
            <w:pPr>
              <w:spacing w:after="0"/>
              <w:jc w:val="left"/>
            </w:pPr>
            <w:r/>
            <w:r>
              <w:rPr>
                <w:rFonts w:ascii="Arial" w:hAnsi="Arial"/>
                <w:b w:val="0"/>
                <w:sz w:val="16"/>
              </w:rPr>
              <w:t>Duidelijke normstelling; mensen direct houden aan bijdrage.</w:t>
            </w:r>
          </w:p>
        </w:tc>
      </w:tr>
      <w:tr>
        <w:trPr>
          <w:cantSplit/>
        </w:trPr>
        <w:tc>
          <w:tcPr>
            <w:tcW w:type="dxa" w:w="2578"/>
            <w:vAlign w:val="center"/>
          </w:tcPr>
          <w:p>
            <w:pPr>
              <w:spacing w:after="0"/>
              <w:jc w:val="left"/>
            </w:pPr>
            <w:r/>
            <w:r>
              <w:rPr>
                <w:rFonts w:ascii="Arial" w:hAnsi="Arial"/>
                <w:b w:val="0"/>
                <w:sz w:val="16"/>
              </w:rPr>
              <w:t>D + IV</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Verbinden van belangen en rechtvaardigheid remmen eenzijdige druk.</w:t>
            </w:r>
          </w:p>
        </w:tc>
        <w:tc>
          <w:tcPr>
            <w:tcW w:type="dxa" w:w="2578"/>
            <w:vAlign w:val="center"/>
          </w:tcPr>
          <w:p>
            <w:pPr>
              <w:spacing w:after="0"/>
              <w:jc w:val="left"/>
            </w:pPr>
            <w:r/>
            <w:r>
              <w:rPr>
                <w:rFonts w:ascii="Arial" w:hAnsi="Arial"/>
                <w:b w:val="0"/>
                <w:sz w:val="16"/>
              </w:rPr>
              <w:t>Sterk standpunt mogelijk, maar meer ruimte voor ander en gezamenlijk principe.</w:t>
            </w:r>
          </w:p>
        </w:tc>
      </w:tr>
    </w:tbl>
    <w:p/>
    <w:p>
      <w:r>
        <w:br w:type="page"/>
      </w:r>
    </w:p>
    <w:p>
      <w:pPr>
        <w:pStyle w:val="Heading2"/>
      </w:pPr>
      <w:r>
        <w:t>Hoge I-stijl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vAlign w:val="center"/>
            <w:shd w:fill="1F4E79"/>
          </w:tcPr>
          <w:p>
            <w:pPr>
              <w:spacing w:after="0"/>
              <w:jc w:val="center"/>
            </w:pPr>
            <w:r/>
            <w:r>
              <w:rPr>
                <w:rFonts w:ascii="Arial" w:hAnsi="Arial"/>
                <w:b/>
                <w:color w:val="FFFFFF"/>
                <w:sz w:val="17"/>
              </w:rPr>
              <w:t>Combinatie</w:t>
            </w:r>
          </w:p>
        </w:tc>
        <w:tc>
          <w:tcPr>
            <w:tcW w:type="dxa" w:w="2578"/>
            <w:vAlign w:val="center"/>
            <w:shd w:fill="1F4E79"/>
          </w:tcPr>
          <w:p>
            <w:pPr>
              <w:spacing w:after="0"/>
              <w:jc w:val="center"/>
            </w:pPr>
            <w:r/>
            <w:r>
              <w:rPr>
                <w:rFonts w:ascii="Arial" w:hAnsi="Arial"/>
                <w:b/>
                <w:color w:val="FFFFFF"/>
                <w:sz w:val="17"/>
              </w:rPr>
              <w:t>Netto</w:t>
            </w:r>
          </w:p>
        </w:tc>
        <w:tc>
          <w:tcPr>
            <w:tcW w:type="dxa" w:w="2578"/>
            <w:vAlign w:val="center"/>
            <w:shd w:fill="1F4E79"/>
          </w:tcPr>
          <w:p>
            <w:pPr>
              <w:spacing w:after="0"/>
              <w:jc w:val="center"/>
            </w:pPr>
            <w:r/>
            <w:r>
              <w:rPr>
                <w:rFonts w:ascii="Arial" w:hAnsi="Arial"/>
                <w:b/>
                <w:color w:val="FFFFFF"/>
                <w:sz w:val="17"/>
              </w:rPr>
              <w:t>Waarom</w:t>
            </w:r>
          </w:p>
        </w:tc>
        <w:tc>
          <w:tcPr>
            <w:tcW w:type="dxa" w:w="2578"/>
            <w:vAlign w:val="center"/>
            <w:shd w:fill="1F4E79"/>
          </w:tcPr>
          <w:p>
            <w:pPr>
              <w:spacing w:after="0"/>
              <w:jc w:val="center"/>
            </w:pPr>
            <w:r/>
            <w:r>
              <w:rPr>
                <w:rFonts w:ascii="Arial" w:hAnsi="Arial"/>
                <w:b/>
                <w:color w:val="FFFFFF"/>
                <w:sz w:val="17"/>
              </w:rPr>
              <w:t>Mogelijke uiting</w:t>
            </w:r>
          </w:p>
        </w:tc>
      </w:tr>
      <w:tr>
        <w:trPr>
          <w:cantSplit/>
        </w:trPr>
        <w:tc>
          <w:tcPr>
            <w:tcW w:type="dxa" w:w="2578"/>
            <w:vAlign w:val="center"/>
          </w:tcPr>
          <w:p>
            <w:pPr>
              <w:spacing w:after="0"/>
              <w:jc w:val="left"/>
            </w:pPr>
            <w:r/>
            <w:r>
              <w:rPr>
                <w:rFonts w:ascii="Arial" w:hAnsi="Arial"/>
                <w:b w:val="0"/>
                <w:sz w:val="16"/>
              </w:rPr>
              <w:t>I + I</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Sociale behoefte van I botst deels met autonome, wantrouwende eigen koers.</w:t>
            </w:r>
          </w:p>
        </w:tc>
        <w:tc>
          <w:tcPr>
            <w:tcW w:type="dxa" w:w="2578"/>
            <w:vAlign w:val="center"/>
          </w:tcPr>
          <w:p>
            <w:pPr>
              <w:spacing w:after="0"/>
              <w:jc w:val="left"/>
            </w:pPr>
            <w:r/>
            <w:r>
              <w:rPr>
                <w:rFonts w:ascii="Arial" w:hAnsi="Arial"/>
                <w:b w:val="0"/>
                <w:sz w:val="16"/>
              </w:rPr>
              <w:t>Sociaal gedrag selectiever; minder afhankelijk van acceptatie.</w:t>
            </w:r>
          </w:p>
        </w:tc>
      </w:tr>
      <w:tr>
        <w:trPr>
          <w:cantSplit/>
        </w:trPr>
        <w:tc>
          <w:tcPr>
            <w:tcW w:type="dxa" w:w="2578"/>
            <w:vAlign w:val="center"/>
          </w:tcPr>
          <w:p>
            <w:pPr>
              <w:spacing w:after="0"/>
              <w:jc w:val="left"/>
            </w:pPr>
            <w:r/>
            <w:r>
              <w:rPr>
                <w:rFonts w:ascii="Arial" w:hAnsi="Arial"/>
                <w:b w:val="0"/>
                <w:sz w:val="16"/>
              </w:rPr>
              <w:t>I + II</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Beide zoeken contact, kansen, acceptatie en harmonie.</w:t>
            </w:r>
          </w:p>
        </w:tc>
        <w:tc>
          <w:tcPr>
            <w:tcW w:type="dxa" w:w="2578"/>
            <w:vAlign w:val="center"/>
          </w:tcPr>
          <w:p>
            <w:pPr>
              <w:spacing w:after="0"/>
              <w:jc w:val="left"/>
            </w:pPr>
            <w:r/>
            <w:r>
              <w:rPr>
                <w:rFonts w:ascii="Arial" w:hAnsi="Arial"/>
                <w:b w:val="0"/>
                <w:sz w:val="16"/>
              </w:rPr>
              <w:t>Open, optimistisch, sociaal en sterk gericht op gezamenlijke groei.</w:t>
            </w:r>
          </w:p>
        </w:tc>
      </w:tr>
      <w:tr>
        <w:trPr>
          <w:cantSplit/>
        </w:trPr>
        <w:tc>
          <w:tcPr>
            <w:tcW w:type="dxa" w:w="2578"/>
            <w:vAlign w:val="center"/>
          </w:tcPr>
          <w:p>
            <w:pPr>
              <w:spacing w:after="0"/>
              <w:jc w:val="left"/>
            </w:pPr>
            <w:r/>
            <w:r>
              <w:rPr>
                <w:rFonts w:ascii="Arial" w:hAnsi="Arial"/>
                <w:b w:val="0"/>
                <w:sz w:val="16"/>
              </w:rPr>
              <w:t>I + III</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Uitbundigheid en spontaniteit worden geremd door plicht, normen en verantwoord handelen.</w:t>
            </w:r>
          </w:p>
        </w:tc>
        <w:tc>
          <w:tcPr>
            <w:tcW w:type="dxa" w:w="2578"/>
            <w:vAlign w:val="center"/>
          </w:tcPr>
          <w:p>
            <w:pPr>
              <w:spacing w:after="0"/>
              <w:jc w:val="left"/>
            </w:pPr>
            <w:r/>
            <w:r>
              <w:rPr>
                <w:rFonts w:ascii="Arial" w:hAnsi="Arial"/>
                <w:b w:val="0"/>
                <w:sz w:val="16"/>
              </w:rPr>
              <w:t>Meer beheerst en betekenisgericht; minder vrijblijvend.</w:t>
            </w:r>
          </w:p>
        </w:tc>
      </w:tr>
      <w:tr>
        <w:trPr>
          <w:cantSplit/>
        </w:trPr>
        <w:tc>
          <w:tcPr>
            <w:tcW w:type="dxa" w:w="2578"/>
            <w:vAlign w:val="center"/>
          </w:tcPr>
          <w:p>
            <w:pPr>
              <w:spacing w:after="0"/>
              <w:jc w:val="left"/>
            </w:pPr>
            <w:r/>
            <w:r>
              <w:rPr>
                <w:rFonts w:ascii="Arial" w:hAnsi="Arial"/>
                <w:b w:val="0"/>
                <w:sz w:val="16"/>
              </w:rPr>
              <w:t>I + IV</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Mensgericht overtuigen past bij verbinden van mensen en belangen.</w:t>
            </w:r>
          </w:p>
        </w:tc>
        <w:tc>
          <w:tcPr>
            <w:tcW w:type="dxa" w:w="2578"/>
            <w:vAlign w:val="center"/>
          </w:tcPr>
          <w:p>
            <w:pPr>
              <w:spacing w:after="0"/>
              <w:jc w:val="left"/>
            </w:pPr>
            <w:r/>
            <w:r>
              <w:rPr>
                <w:rFonts w:ascii="Arial" w:hAnsi="Arial"/>
                <w:b w:val="0"/>
                <w:sz w:val="16"/>
              </w:rPr>
              <w:t>Inspirerend, principieel en relationeel; gezamenlijke betekenis uitdragen.</w:t>
            </w:r>
          </w:p>
        </w:tc>
      </w:tr>
    </w:tbl>
    <w:p/>
    <w:p>
      <w:r>
        <w:br w:type="page"/>
      </w:r>
    </w:p>
    <w:p>
      <w:pPr>
        <w:pStyle w:val="Heading2"/>
      </w:pPr>
      <w:r>
        <w:t>Hoge S-stijl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vAlign w:val="center"/>
            <w:shd w:fill="1F4E79"/>
          </w:tcPr>
          <w:p>
            <w:pPr>
              <w:spacing w:after="0"/>
              <w:jc w:val="center"/>
            </w:pPr>
            <w:r/>
            <w:r>
              <w:rPr>
                <w:rFonts w:ascii="Arial" w:hAnsi="Arial"/>
                <w:b/>
                <w:color w:val="FFFFFF"/>
                <w:sz w:val="17"/>
              </w:rPr>
              <w:t>Combinatie</w:t>
            </w:r>
          </w:p>
        </w:tc>
        <w:tc>
          <w:tcPr>
            <w:tcW w:type="dxa" w:w="2578"/>
            <w:vAlign w:val="center"/>
            <w:shd w:fill="1F4E79"/>
          </w:tcPr>
          <w:p>
            <w:pPr>
              <w:spacing w:after="0"/>
              <w:jc w:val="center"/>
            </w:pPr>
            <w:r/>
            <w:r>
              <w:rPr>
                <w:rFonts w:ascii="Arial" w:hAnsi="Arial"/>
                <w:b/>
                <w:color w:val="FFFFFF"/>
                <w:sz w:val="17"/>
              </w:rPr>
              <w:t>Netto</w:t>
            </w:r>
          </w:p>
        </w:tc>
        <w:tc>
          <w:tcPr>
            <w:tcW w:type="dxa" w:w="2578"/>
            <w:vAlign w:val="center"/>
            <w:shd w:fill="1F4E79"/>
          </w:tcPr>
          <w:p>
            <w:pPr>
              <w:spacing w:after="0"/>
              <w:jc w:val="center"/>
            </w:pPr>
            <w:r/>
            <w:r>
              <w:rPr>
                <w:rFonts w:ascii="Arial" w:hAnsi="Arial"/>
                <w:b/>
                <w:color w:val="FFFFFF"/>
                <w:sz w:val="17"/>
              </w:rPr>
              <w:t>Waarom</w:t>
            </w:r>
          </w:p>
        </w:tc>
        <w:tc>
          <w:tcPr>
            <w:tcW w:type="dxa" w:w="2578"/>
            <w:vAlign w:val="center"/>
            <w:shd w:fill="1F4E79"/>
          </w:tcPr>
          <w:p>
            <w:pPr>
              <w:spacing w:after="0"/>
              <w:jc w:val="center"/>
            </w:pPr>
            <w:r/>
            <w:r>
              <w:rPr>
                <w:rFonts w:ascii="Arial" w:hAnsi="Arial"/>
                <w:b/>
                <w:color w:val="FFFFFF"/>
                <w:sz w:val="17"/>
              </w:rPr>
              <w:t>Mogelijke uiting</w:t>
            </w:r>
          </w:p>
        </w:tc>
      </w:tr>
      <w:tr>
        <w:trPr>
          <w:cantSplit/>
        </w:trPr>
        <w:tc>
          <w:tcPr>
            <w:tcW w:type="dxa" w:w="2578"/>
            <w:vAlign w:val="center"/>
          </w:tcPr>
          <w:p>
            <w:pPr>
              <w:spacing w:after="0"/>
              <w:jc w:val="left"/>
            </w:pPr>
            <w:r/>
            <w:r>
              <w:rPr>
                <w:rFonts w:ascii="Arial" w:hAnsi="Arial"/>
                <w:b w:val="0"/>
                <w:sz w:val="16"/>
              </w:rPr>
              <w:t>S + I</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Samenwerking en steun botsen met persoonlijk belang, autonomie en zelfredzaamheid.</w:t>
            </w:r>
          </w:p>
        </w:tc>
        <w:tc>
          <w:tcPr>
            <w:tcW w:type="dxa" w:w="2578"/>
            <w:vAlign w:val="center"/>
          </w:tcPr>
          <w:p>
            <w:pPr>
              <w:spacing w:after="0"/>
              <w:jc w:val="left"/>
            </w:pPr>
            <w:r/>
            <w:r>
              <w:rPr>
                <w:rFonts w:ascii="Arial" w:hAnsi="Arial"/>
                <w:b w:val="0"/>
                <w:sz w:val="16"/>
              </w:rPr>
              <w:t>Rustig gedrag blijft, maar meer eigen grenzen en zelfstandige keuzes.</w:t>
            </w:r>
          </w:p>
        </w:tc>
      </w:tr>
      <w:tr>
        <w:trPr>
          <w:cantSplit/>
        </w:trPr>
        <w:tc>
          <w:tcPr>
            <w:tcW w:type="dxa" w:w="2578"/>
            <w:vAlign w:val="center"/>
          </w:tcPr>
          <w:p>
            <w:pPr>
              <w:spacing w:after="0"/>
              <w:jc w:val="left"/>
            </w:pPr>
            <w:r/>
            <w:r>
              <w:rPr>
                <w:rFonts w:ascii="Arial" w:hAnsi="Arial"/>
                <w:b w:val="0"/>
                <w:sz w:val="16"/>
              </w:rPr>
              <w:t>S + II</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Beide zoeken harmonie, acceptatie en samenwerken.</w:t>
            </w:r>
          </w:p>
        </w:tc>
        <w:tc>
          <w:tcPr>
            <w:tcW w:type="dxa" w:w="2578"/>
            <w:vAlign w:val="center"/>
          </w:tcPr>
          <w:p>
            <w:pPr>
              <w:spacing w:after="0"/>
              <w:jc w:val="left"/>
            </w:pPr>
            <w:r/>
            <w:r>
              <w:rPr>
                <w:rFonts w:ascii="Arial" w:hAnsi="Arial"/>
                <w:b w:val="0"/>
                <w:sz w:val="16"/>
              </w:rPr>
              <w:t>Sterk ondersteunend, geduldig en gericht op prettige onderlinge verhoudingen.</w:t>
            </w:r>
          </w:p>
        </w:tc>
      </w:tr>
      <w:tr>
        <w:trPr>
          <w:cantSplit/>
        </w:trPr>
        <w:tc>
          <w:tcPr>
            <w:tcW w:type="dxa" w:w="2578"/>
            <w:vAlign w:val="center"/>
          </w:tcPr>
          <w:p>
            <w:pPr>
              <w:spacing w:after="0"/>
              <w:jc w:val="left"/>
            </w:pPr>
            <w:r/>
            <w:r>
              <w:rPr>
                <w:rFonts w:ascii="Arial" w:hAnsi="Arial"/>
                <w:b w:val="0"/>
                <w:sz w:val="16"/>
              </w:rPr>
              <w:t>S + III</w:t>
            </w:r>
          </w:p>
        </w:tc>
        <w:tc>
          <w:tcPr>
            <w:tcW w:type="dxa" w:w="2578"/>
            <w:vAlign w:val="center"/>
          </w:tcPr>
          <w:p>
            <w:pPr>
              <w:spacing w:after="0"/>
              <w:jc w:val="left"/>
            </w:pPr>
            <w:r/>
            <w:r>
              <w:rPr>
                <w:rFonts w:ascii="Arial" w:hAnsi="Arial"/>
                <w:b w:val="0"/>
                <w:sz w:val="16"/>
              </w:rPr>
              <w:t>Versterkt (netto)</w:t>
            </w:r>
          </w:p>
        </w:tc>
        <w:tc>
          <w:tcPr>
            <w:tcW w:type="dxa" w:w="2578"/>
            <w:vAlign w:val="center"/>
          </w:tcPr>
          <w:p>
            <w:pPr>
              <w:spacing w:after="0"/>
              <w:jc w:val="left"/>
            </w:pPr>
            <w:r/>
            <w:r>
              <w:rPr>
                <w:rFonts w:ascii="Arial" w:hAnsi="Arial"/>
                <w:b w:val="0"/>
                <w:sz w:val="16"/>
              </w:rPr>
              <w:t>Stabiliteit, loyaliteit, bescherming en groepsbijdrage passen bij S.</w:t>
            </w:r>
          </w:p>
        </w:tc>
        <w:tc>
          <w:tcPr>
            <w:tcW w:type="dxa" w:w="2578"/>
            <w:vAlign w:val="center"/>
          </w:tcPr>
          <w:p>
            <w:pPr>
              <w:spacing w:after="0"/>
              <w:jc w:val="left"/>
            </w:pPr>
            <w:r/>
            <w:r>
              <w:rPr>
                <w:rFonts w:ascii="Arial" w:hAnsi="Arial"/>
                <w:b w:val="0"/>
                <w:sz w:val="16"/>
              </w:rPr>
              <w:t>Trouw en continuiteit nemen toe; aanspreken op verantwoordelijkheid kan plaatselijk spanning geven.</w:t>
            </w:r>
          </w:p>
        </w:tc>
      </w:tr>
      <w:tr>
        <w:trPr>
          <w:cantSplit/>
        </w:trPr>
        <w:tc>
          <w:tcPr>
            <w:tcW w:type="dxa" w:w="2578"/>
            <w:vAlign w:val="center"/>
          </w:tcPr>
          <w:p>
            <w:pPr>
              <w:spacing w:after="0"/>
              <w:jc w:val="left"/>
            </w:pPr>
            <w:r/>
            <w:r>
              <w:rPr>
                <w:rFonts w:ascii="Arial" w:hAnsi="Arial"/>
                <w:b w:val="0"/>
                <w:sz w:val="16"/>
              </w:rPr>
              <w:t>S + IV</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Mensgerichtheid en samenwerken ondersteunen integratie en rechtvaardigheid.</w:t>
            </w:r>
          </w:p>
        </w:tc>
        <w:tc>
          <w:tcPr>
            <w:tcW w:type="dxa" w:w="2578"/>
            <w:vAlign w:val="center"/>
          </w:tcPr>
          <w:p>
            <w:pPr>
              <w:spacing w:after="0"/>
              <w:jc w:val="left"/>
            </w:pPr>
            <w:r/>
            <w:r>
              <w:rPr>
                <w:rFonts w:ascii="Arial" w:hAnsi="Arial"/>
                <w:b w:val="0"/>
                <w:sz w:val="16"/>
              </w:rPr>
              <w:t>Zorgzaam verbinden; rustig handelen voor gezamenlijke en principiele uitkomst.</w:t>
            </w:r>
          </w:p>
        </w:tc>
      </w:tr>
    </w:tbl>
    <w:p/>
    <w:p>
      <w:r>
        <w:br w:type="page"/>
      </w:r>
    </w:p>
    <w:p>
      <w:pPr>
        <w:pStyle w:val="Heading2"/>
      </w:pPr>
      <w:r>
        <w:t>Hoge C-stijl</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vAlign w:val="center"/>
            <w:shd w:fill="1F4E79"/>
          </w:tcPr>
          <w:p>
            <w:pPr>
              <w:spacing w:after="0"/>
              <w:jc w:val="center"/>
            </w:pPr>
            <w:r/>
            <w:r>
              <w:rPr>
                <w:rFonts w:ascii="Arial" w:hAnsi="Arial"/>
                <w:b/>
                <w:color w:val="FFFFFF"/>
                <w:sz w:val="17"/>
              </w:rPr>
              <w:t>Combinatie</w:t>
            </w:r>
          </w:p>
        </w:tc>
        <w:tc>
          <w:tcPr>
            <w:tcW w:type="dxa" w:w="2578"/>
            <w:vAlign w:val="center"/>
            <w:shd w:fill="1F4E79"/>
          </w:tcPr>
          <w:p>
            <w:pPr>
              <w:spacing w:after="0"/>
              <w:jc w:val="center"/>
            </w:pPr>
            <w:r/>
            <w:r>
              <w:rPr>
                <w:rFonts w:ascii="Arial" w:hAnsi="Arial"/>
                <w:b/>
                <w:color w:val="FFFFFF"/>
                <w:sz w:val="17"/>
              </w:rPr>
              <w:t>Netto</w:t>
            </w:r>
          </w:p>
        </w:tc>
        <w:tc>
          <w:tcPr>
            <w:tcW w:type="dxa" w:w="2578"/>
            <w:vAlign w:val="center"/>
            <w:shd w:fill="1F4E79"/>
          </w:tcPr>
          <w:p>
            <w:pPr>
              <w:spacing w:after="0"/>
              <w:jc w:val="center"/>
            </w:pPr>
            <w:r/>
            <w:r>
              <w:rPr>
                <w:rFonts w:ascii="Arial" w:hAnsi="Arial"/>
                <w:b/>
                <w:color w:val="FFFFFF"/>
                <w:sz w:val="17"/>
              </w:rPr>
              <w:t>Waarom</w:t>
            </w:r>
          </w:p>
        </w:tc>
        <w:tc>
          <w:tcPr>
            <w:tcW w:type="dxa" w:w="2578"/>
            <w:vAlign w:val="center"/>
            <w:shd w:fill="1F4E79"/>
          </w:tcPr>
          <w:p>
            <w:pPr>
              <w:spacing w:after="0"/>
              <w:jc w:val="center"/>
            </w:pPr>
            <w:r/>
            <w:r>
              <w:rPr>
                <w:rFonts w:ascii="Arial" w:hAnsi="Arial"/>
                <w:b/>
                <w:color w:val="FFFFFF"/>
                <w:sz w:val="17"/>
              </w:rPr>
              <w:t>Mogelijke uiting</w:t>
            </w:r>
          </w:p>
        </w:tc>
      </w:tr>
      <w:tr>
        <w:trPr>
          <w:cantSplit/>
        </w:trPr>
        <w:tc>
          <w:tcPr>
            <w:tcW w:type="dxa" w:w="2578"/>
            <w:vAlign w:val="center"/>
          </w:tcPr>
          <w:p>
            <w:pPr>
              <w:spacing w:after="0"/>
              <w:jc w:val="left"/>
            </w:pPr>
            <w:r/>
            <w:r>
              <w:rPr>
                <w:rFonts w:ascii="Arial" w:hAnsi="Arial"/>
                <w:b w:val="0"/>
                <w:sz w:val="16"/>
              </w:rPr>
              <w:t>C + I</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Onafhankelijk oordeel en eigen regels sluiten aan op autonomie.</w:t>
            </w:r>
          </w:p>
        </w:tc>
        <w:tc>
          <w:tcPr>
            <w:tcW w:type="dxa" w:w="2578"/>
            <w:vAlign w:val="center"/>
          </w:tcPr>
          <w:p>
            <w:pPr>
              <w:spacing w:after="0"/>
              <w:jc w:val="left"/>
            </w:pPr>
            <w:r/>
            <w:r>
              <w:rPr>
                <w:rFonts w:ascii="Arial" w:hAnsi="Arial"/>
                <w:b w:val="0"/>
                <w:sz w:val="16"/>
              </w:rPr>
              <w:t>Sterk eigen kwaliteitskader; weerstand tegen opgelegde normen zonder eigen nut.</w:t>
            </w:r>
          </w:p>
        </w:tc>
      </w:tr>
      <w:tr>
        <w:trPr>
          <w:cantSplit/>
        </w:trPr>
        <w:tc>
          <w:tcPr>
            <w:tcW w:type="dxa" w:w="2578"/>
            <w:vAlign w:val="center"/>
          </w:tcPr>
          <w:p>
            <w:pPr>
              <w:spacing w:after="0"/>
              <w:jc w:val="left"/>
            </w:pPr>
            <w:r/>
            <w:r>
              <w:rPr>
                <w:rFonts w:ascii="Arial" w:hAnsi="Arial"/>
                <w:b w:val="0"/>
                <w:sz w:val="16"/>
              </w:rPr>
              <w:t>C + II</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Acceptatie en harmonie verzachten starre norm- en foutfocus.</w:t>
            </w:r>
          </w:p>
        </w:tc>
        <w:tc>
          <w:tcPr>
            <w:tcW w:type="dxa" w:w="2578"/>
            <w:vAlign w:val="center"/>
          </w:tcPr>
          <w:p>
            <w:pPr>
              <w:spacing w:after="0"/>
              <w:jc w:val="left"/>
            </w:pPr>
            <w:r/>
            <w:r>
              <w:rPr>
                <w:rFonts w:ascii="Arial" w:hAnsi="Arial"/>
                <w:b w:val="0"/>
                <w:sz w:val="16"/>
              </w:rPr>
              <w:t>Hoge standaard blijft, maar toepassing wordt socialer en flexibeler.</w:t>
            </w:r>
          </w:p>
        </w:tc>
      </w:tr>
      <w:tr>
        <w:trPr>
          <w:cantSplit/>
        </w:trPr>
        <w:tc>
          <w:tcPr>
            <w:tcW w:type="dxa" w:w="2578"/>
            <w:vAlign w:val="center"/>
          </w:tcPr>
          <w:p>
            <w:pPr>
              <w:spacing w:after="0"/>
              <w:jc w:val="left"/>
            </w:pPr>
            <w:r/>
            <w:r>
              <w:rPr>
                <w:rFonts w:ascii="Arial" w:hAnsi="Arial"/>
                <w:b w:val="0"/>
                <w:sz w:val="16"/>
              </w:rPr>
              <w:t>C + III</w:t>
            </w:r>
          </w:p>
        </w:tc>
        <w:tc>
          <w:tcPr>
            <w:tcW w:type="dxa" w:w="2578"/>
            <w:vAlign w:val="center"/>
          </w:tcPr>
          <w:p>
            <w:pPr>
              <w:spacing w:after="0"/>
              <w:jc w:val="left"/>
            </w:pPr>
            <w:r/>
            <w:r>
              <w:rPr>
                <w:rFonts w:ascii="Arial" w:hAnsi="Arial"/>
                <w:b w:val="0"/>
                <w:sz w:val="16"/>
              </w:rPr>
              <w:t>Versterkt</w:t>
            </w:r>
          </w:p>
        </w:tc>
        <w:tc>
          <w:tcPr>
            <w:tcW w:type="dxa" w:w="2578"/>
            <w:vAlign w:val="center"/>
          </w:tcPr>
          <w:p>
            <w:pPr>
              <w:spacing w:after="0"/>
              <w:jc w:val="left"/>
            </w:pPr>
            <w:r/>
            <w:r>
              <w:rPr>
                <w:rFonts w:ascii="Arial" w:hAnsi="Arial"/>
                <w:b w:val="0"/>
                <w:sz w:val="16"/>
              </w:rPr>
              <w:t>Regels, structuur, verantwoordelijkheid en betrouwbaarheid wijzen zelfde kant op.</w:t>
            </w:r>
          </w:p>
        </w:tc>
        <w:tc>
          <w:tcPr>
            <w:tcW w:type="dxa" w:w="2578"/>
            <w:vAlign w:val="center"/>
          </w:tcPr>
          <w:p>
            <w:pPr>
              <w:spacing w:after="0"/>
              <w:jc w:val="left"/>
            </w:pPr>
            <w:r/>
            <w:r>
              <w:rPr>
                <w:rFonts w:ascii="Arial" w:hAnsi="Arial"/>
                <w:b w:val="0"/>
                <w:sz w:val="16"/>
              </w:rPr>
              <w:t>Consistent, zorgvuldig en normvast; sterke plicht tot correct handelen.</w:t>
            </w:r>
          </w:p>
        </w:tc>
      </w:tr>
      <w:tr>
        <w:trPr>
          <w:cantSplit/>
        </w:trPr>
        <w:tc>
          <w:tcPr>
            <w:tcW w:type="dxa" w:w="2578"/>
            <w:vAlign w:val="center"/>
          </w:tcPr>
          <w:p>
            <w:pPr>
              <w:spacing w:after="0"/>
              <w:jc w:val="left"/>
            </w:pPr>
            <w:r/>
            <w:r>
              <w:rPr>
                <w:rFonts w:ascii="Arial" w:hAnsi="Arial"/>
                <w:b w:val="0"/>
                <w:sz w:val="16"/>
              </w:rPr>
              <w:t>C + IV</w:t>
            </w:r>
          </w:p>
        </w:tc>
        <w:tc>
          <w:tcPr>
            <w:tcW w:type="dxa" w:w="2578"/>
            <w:vAlign w:val="center"/>
          </w:tcPr>
          <w:p>
            <w:pPr>
              <w:spacing w:after="0"/>
              <w:jc w:val="left"/>
            </w:pPr>
            <w:r/>
            <w:r>
              <w:rPr>
                <w:rFonts w:ascii="Arial" w:hAnsi="Arial"/>
                <w:b w:val="0"/>
                <w:sz w:val="16"/>
              </w:rPr>
              <w:t>Verzwakt</w:t>
            </w:r>
          </w:p>
        </w:tc>
        <w:tc>
          <w:tcPr>
            <w:tcW w:type="dxa" w:w="2578"/>
            <w:vAlign w:val="center"/>
          </w:tcPr>
          <w:p>
            <w:pPr>
              <w:spacing w:after="0"/>
              <w:jc w:val="left"/>
            </w:pPr>
            <w:r/>
            <w:r>
              <w:rPr>
                <w:rFonts w:ascii="Arial" w:hAnsi="Arial"/>
                <w:b w:val="0"/>
                <w:sz w:val="16"/>
              </w:rPr>
              <w:t>Type IV toetst regels aan bredere principes en andere inzichten.</w:t>
            </w:r>
          </w:p>
        </w:tc>
        <w:tc>
          <w:tcPr>
            <w:tcW w:type="dxa" w:w="2578"/>
            <w:vAlign w:val="center"/>
          </w:tcPr>
          <w:p>
            <w:pPr>
              <w:spacing w:after="0"/>
              <w:jc w:val="left"/>
            </w:pPr>
            <w:r/>
            <w:r>
              <w:rPr>
                <w:rFonts w:ascii="Arial" w:hAnsi="Arial"/>
                <w:b w:val="0"/>
                <w:sz w:val="16"/>
              </w:rPr>
              <w:t>Minder regel om regel; meer kritische afweging van rechtvaardigheid en gevolgen.</w:t>
            </w:r>
          </w:p>
        </w:tc>
      </w:tr>
    </w:tbl>
    <w:p/>
    <w:p>
      <w:pPr>
        <w:pStyle w:val="Bron"/>
      </w:pPr>
      <w:r>
        <w:t>Netto-pijlen: schema 2020. Verklaringen: synthese van typebeschrijvingen 2025 en Verdieping 2021.</w:t>
      </w:r>
    </w:p>
    <w:p>
      <w:r>
        <w:br w:type="page"/>
      </w:r>
    </w:p>
    <w:p>
      <w:pPr>
        <w:pStyle w:val="Heading1"/>
      </w:pPr>
      <w:r>
        <w:t>9. Verbindingen tussen waardenprofielen</w:t>
      </w:r>
    </w:p>
    <w:p>
      <w:r>
        <w:t>Onderstaande verbindingen zijn interpretatieve synthese. Geen nieuwe officiele Q4-typen.</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3437"/>
            <w:vAlign w:val="center"/>
            <w:shd w:fill="1F4E79"/>
          </w:tcPr>
          <w:p>
            <w:pPr>
              <w:spacing w:after="0"/>
              <w:jc w:val="center"/>
            </w:pPr>
            <w:r/>
            <w:r>
              <w:rPr>
                <w:rFonts w:ascii="Arial" w:hAnsi="Arial"/>
                <w:b/>
                <w:color w:val="FFFFFF"/>
                <w:sz w:val="18"/>
              </w:rPr>
              <w:t>Mix</w:t>
            </w:r>
          </w:p>
        </w:tc>
        <w:tc>
          <w:tcPr>
            <w:tcW w:type="dxa" w:w="3437"/>
            <w:vAlign w:val="center"/>
            <w:shd w:fill="1F4E79"/>
          </w:tcPr>
          <w:p>
            <w:pPr>
              <w:spacing w:after="0"/>
              <w:jc w:val="center"/>
            </w:pPr>
            <w:r/>
            <w:r>
              <w:rPr>
                <w:rFonts w:ascii="Arial" w:hAnsi="Arial"/>
                <w:b/>
                <w:color w:val="FFFFFF"/>
                <w:sz w:val="18"/>
              </w:rPr>
              <w:t>Onderliggende verbinding</w:t>
            </w:r>
          </w:p>
        </w:tc>
        <w:tc>
          <w:tcPr>
            <w:tcW w:type="dxa" w:w="3437"/>
            <w:vAlign w:val="center"/>
            <w:shd w:fill="1F4E79"/>
          </w:tcPr>
          <w:p>
            <w:pPr>
              <w:spacing w:after="0"/>
              <w:jc w:val="center"/>
            </w:pPr>
            <w:r/>
            <w:r>
              <w:rPr>
                <w:rFonts w:ascii="Arial" w:hAnsi="Arial"/>
                <w:b/>
                <w:color w:val="FFFFFF"/>
                <w:sz w:val="18"/>
              </w:rPr>
              <w:t>Sterkte en spanning</w:t>
            </w:r>
          </w:p>
        </w:tc>
      </w:tr>
      <w:tr>
        <w:trPr>
          <w:cantSplit/>
        </w:trPr>
        <w:tc>
          <w:tcPr>
            <w:tcW w:type="dxa" w:w="3437"/>
            <w:vAlign w:val="center"/>
          </w:tcPr>
          <w:p>
            <w:pPr>
              <w:spacing w:after="0"/>
              <w:jc w:val="left"/>
            </w:pPr>
            <w:r/>
            <w:r>
              <w:rPr>
                <w:rFonts w:ascii="Arial" w:hAnsi="Arial"/>
                <w:b w:val="0"/>
                <w:sz w:val="16"/>
              </w:rPr>
              <w:t>I + II</w:t>
            </w:r>
          </w:p>
        </w:tc>
        <w:tc>
          <w:tcPr>
            <w:tcW w:type="dxa" w:w="3437"/>
            <w:vAlign w:val="center"/>
          </w:tcPr>
          <w:p>
            <w:pPr>
              <w:spacing w:after="0"/>
              <w:jc w:val="left"/>
            </w:pPr>
            <w:r/>
            <w:r>
              <w:rPr>
                <w:rFonts w:ascii="Arial" w:hAnsi="Arial"/>
                <w:b w:val="0"/>
                <w:sz w:val="16"/>
              </w:rPr>
              <w:t>Persoonlijke doelen vormen overeenkomst. Verschil: I kiest persoonlijke inzet en autonomie; II zoekt gezamenlijke inzet en goedkeuring.</w:t>
            </w:r>
          </w:p>
        </w:tc>
        <w:tc>
          <w:tcPr>
            <w:tcW w:type="dxa" w:w="3437"/>
            <w:vAlign w:val="center"/>
          </w:tcPr>
          <w:p>
            <w:pPr>
              <w:spacing w:after="0"/>
              <w:jc w:val="left"/>
            </w:pPr>
            <w:r/>
            <w:r>
              <w:rPr>
                <w:rFonts w:ascii="Arial" w:hAnsi="Arial"/>
                <w:b w:val="0"/>
                <w:sz w:val="16"/>
              </w:rPr>
              <w:t>Ondernemerschap met draagvlak. Spanning tussen directe eigen koers en harmonie.</w:t>
            </w:r>
          </w:p>
        </w:tc>
      </w:tr>
      <w:tr>
        <w:trPr>
          <w:cantSplit/>
        </w:trPr>
        <w:tc>
          <w:tcPr>
            <w:tcW w:type="dxa" w:w="3437"/>
            <w:vAlign w:val="center"/>
          </w:tcPr>
          <w:p>
            <w:pPr>
              <w:spacing w:after="0"/>
              <w:jc w:val="left"/>
            </w:pPr>
            <w:r/>
            <w:r>
              <w:rPr>
                <w:rFonts w:ascii="Arial" w:hAnsi="Arial"/>
                <w:b w:val="0"/>
                <w:sz w:val="16"/>
              </w:rPr>
              <w:t>I + III</w:t>
            </w:r>
          </w:p>
        </w:tc>
        <w:tc>
          <w:tcPr>
            <w:tcW w:type="dxa" w:w="3437"/>
            <w:vAlign w:val="center"/>
          </w:tcPr>
          <w:p>
            <w:pPr>
              <w:spacing w:after="0"/>
              <w:jc w:val="left"/>
            </w:pPr>
            <w:r/>
            <w:r>
              <w:rPr>
                <w:rFonts w:ascii="Arial" w:hAnsi="Arial"/>
                <w:b w:val="0"/>
                <w:sz w:val="16"/>
              </w:rPr>
              <w:t>Beide kunnen daadkrachtig en verantwoordelijk ogen. Kernbotsing: persoonlijk recht en vrijheid versus gezamenlijk doel, regels en loyaliteit.</w:t>
            </w:r>
          </w:p>
        </w:tc>
        <w:tc>
          <w:tcPr>
            <w:tcW w:type="dxa" w:w="3437"/>
            <w:vAlign w:val="center"/>
          </w:tcPr>
          <w:p>
            <w:pPr>
              <w:spacing w:after="0"/>
              <w:jc w:val="left"/>
            </w:pPr>
            <w:r/>
            <w:r>
              <w:rPr>
                <w:rFonts w:ascii="Arial" w:hAnsi="Arial"/>
                <w:b w:val="0"/>
                <w:sz w:val="16"/>
              </w:rPr>
              <w:t>Vernieuwing plus borging. Spanning over regels, plicht en eigen belang.</w:t>
            </w:r>
          </w:p>
        </w:tc>
      </w:tr>
      <w:tr>
        <w:trPr>
          <w:cantSplit/>
        </w:trPr>
        <w:tc>
          <w:tcPr>
            <w:tcW w:type="dxa" w:w="3437"/>
            <w:vAlign w:val="center"/>
          </w:tcPr>
          <w:p>
            <w:pPr>
              <w:spacing w:after="0"/>
              <w:jc w:val="left"/>
            </w:pPr>
            <w:r/>
            <w:r>
              <w:rPr>
                <w:rFonts w:ascii="Arial" w:hAnsi="Arial"/>
                <w:b w:val="0"/>
                <w:sz w:val="16"/>
              </w:rPr>
              <w:t>I + IV</w:t>
            </w:r>
          </w:p>
        </w:tc>
        <w:tc>
          <w:tcPr>
            <w:tcW w:type="dxa" w:w="3437"/>
            <w:vAlign w:val="center"/>
          </w:tcPr>
          <w:p>
            <w:pPr>
              <w:spacing w:after="0"/>
              <w:jc w:val="left"/>
            </w:pPr>
            <w:r/>
            <w:r>
              <w:rPr>
                <w:rFonts w:ascii="Arial" w:hAnsi="Arial"/>
                <w:b w:val="0"/>
                <w:sz w:val="16"/>
              </w:rPr>
              <w:t>Beide kunnen onafhankelijk en principieel handelen. I beschermt eigen welzijn; IV integreert rechten en verantwoordelijkheden van allen.</w:t>
            </w:r>
          </w:p>
        </w:tc>
        <w:tc>
          <w:tcPr>
            <w:tcW w:type="dxa" w:w="3437"/>
            <w:vAlign w:val="center"/>
          </w:tcPr>
          <w:p>
            <w:pPr>
              <w:spacing w:after="0"/>
              <w:jc w:val="left"/>
            </w:pPr>
            <w:r/>
            <w:r>
              <w:rPr>
                <w:rFonts w:ascii="Arial" w:hAnsi="Arial"/>
                <w:b w:val="0"/>
                <w:sz w:val="16"/>
              </w:rPr>
              <w:t>Kracht plus geweten. Spanning tussen autonomie en rechtvaardige gezamenlijke uitkomst.</w:t>
            </w:r>
          </w:p>
        </w:tc>
      </w:tr>
      <w:tr>
        <w:trPr>
          <w:cantSplit/>
        </w:trPr>
        <w:tc>
          <w:tcPr>
            <w:tcW w:type="dxa" w:w="3437"/>
            <w:vAlign w:val="center"/>
          </w:tcPr>
          <w:p>
            <w:pPr>
              <w:spacing w:after="0"/>
              <w:jc w:val="left"/>
            </w:pPr>
            <w:r/>
            <w:r>
              <w:rPr>
                <w:rFonts w:ascii="Arial" w:hAnsi="Arial"/>
                <w:b w:val="0"/>
                <w:sz w:val="16"/>
              </w:rPr>
              <w:t>II + III</w:t>
            </w:r>
          </w:p>
        </w:tc>
        <w:tc>
          <w:tcPr>
            <w:tcW w:type="dxa" w:w="3437"/>
            <w:vAlign w:val="center"/>
          </w:tcPr>
          <w:p>
            <w:pPr>
              <w:spacing w:after="0"/>
              <w:jc w:val="left"/>
            </w:pPr>
            <w:r/>
            <w:r>
              <w:rPr>
                <w:rFonts w:ascii="Arial" w:hAnsi="Arial"/>
                <w:b w:val="0"/>
                <w:sz w:val="16"/>
              </w:rPr>
              <w:t>Beide gebruiken gezamenlijke inzet. II dient persoonlijk geluk en harmonie; III dient gezamenlijk doel en verantwoordelijkheid.</w:t>
            </w:r>
          </w:p>
        </w:tc>
        <w:tc>
          <w:tcPr>
            <w:tcW w:type="dxa" w:w="3437"/>
            <w:vAlign w:val="center"/>
          </w:tcPr>
          <w:p>
            <w:pPr>
              <w:spacing w:after="0"/>
              <w:jc w:val="left"/>
            </w:pPr>
            <w:r/>
            <w:r>
              <w:rPr>
                <w:rFonts w:ascii="Arial" w:hAnsi="Arial"/>
                <w:b w:val="0"/>
                <w:sz w:val="16"/>
              </w:rPr>
              <w:t>Verbinding plus betrouwbaarheid. Spanning tussen prettige verhouding en aanspreken op plicht.</w:t>
            </w:r>
          </w:p>
        </w:tc>
      </w:tr>
      <w:tr>
        <w:trPr>
          <w:cantSplit/>
        </w:trPr>
        <w:tc>
          <w:tcPr>
            <w:tcW w:type="dxa" w:w="3437"/>
            <w:vAlign w:val="center"/>
          </w:tcPr>
          <w:p>
            <w:pPr>
              <w:spacing w:after="0"/>
              <w:jc w:val="left"/>
            </w:pPr>
            <w:r/>
            <w:r>
              <w:rPr>
                <w:rFonts w:ascii="Arial" w:hAnsi="Arial"/>
                <w:b w:val="0"/>
                <w:sz w:val="16"/>
              </w:rPr>
              <w:t>II + IV</w:t>
            </w:r>
          </w:p>
        </w:tc>
        <w:tc>
          <w:tcPr>
            <w:tcW w:type="dxa" w:w="3437"/>
            <w:vAlign w:val="center"/>
          </w:tcPr>
          <w:p>
            <w:pPr>
              <w:spacing w:after="0"/>
              <w:jc w:val="left"/>
            </w:pPr>
            <w:r/>
            <w:r>
              <w:rPr>
                <w:rFonts w:ascii="Arial" w:hAnsi="Arial"/>
                <w:b w:val="0"/>
                <w:sz w:val="16"/>
              </w:rPr>
              <w:t>Beide mensgericht. II zoekt sociale goedkeuring en persoonlijke groei; IV zoekt innerlijke congruentie en principes.</w:t>
            </w:r>
          </w:p>
        </w:tc>
        <w:tc>
          <w:tcPr>
            <w:tcW w:type="dxa" w:w="3437"/>
            <w:vAlign w:val="center"/>
          </w:tcPr>
          <w:p>
            <w:pPr>
              <w:spacing w:after="0"/>
              <w:jc w:val="left"/>
            </w:pPr>
            <w:r/>
            <w:r>
              <w:rPr>
                <w:rFonts w:ascii="Arial" w:hAnsi="Arial"/>
                <w:b w:val="0"/>
                <w:sz w:val="16"/>
              </w:rPr>
              <w:t>Hoop plus betekenis. Spanning tussen harmonie bewaren en onrecht benoemen.</w:t>
            </w:r>
          </w:p>
        </w:tc>
      </w:tr>
      <w:tr>
        <w:trPr>
          <w:cantSplit/>
        </w:trPr>
        <w:tc>
          <w:tcPr>
            <w:tcW w:type="dxa" w:w="3437"/>
            <w:vAlign w:val="center"/>
          </w:tcPr>
          <w:p>
            <w:pPr>
              <w:spacing w:after="0"/>
              <w:jc w:val="left"/>
            </w:pPr>
            <w:r/>
            <w:r>
              <w:rPr>
                <w:rFonts w:ascii="Arial" w:hAnsi="Arial"/>
                <w:b w:val="0"/>
                <w:sz w:val="16"/>
              </w:rPr>
              <w:t>III + IV</w:t>
            </w:r>
          </w:p>
        </w:tc>
        <w:tc>
          <w:tcPr>
            <w:tcW w:type="dxa" w:w="3437"/>
            <w:vAlign w:val="center"/>
          </w:tcPr>
          <w:p>
            <w:pPr>
              <w:spacing w:after="0"/>
              <w:jc w:val="left"/>
            </w:pPr>
            <w:r/>
            <w:r>
              <w:rPr>
                <w:rFonts w:ascii="Arial" w:hAnsi="Arial"/>
                <w:b w:val="0"/>
                <w:sz w:val="16"/>
              </w:rPr>
              <w:t>Beide wij-gericht en verantwoordelijk. III accepteert groep, regels en normen; IV toetst aan universele of verbindende principes.</w:t>
            </w:r>
          </w:p>
        </w:tc>
        <w:tc>
          <w:tcPr>
            <w:tcW w:type="dxa" w:w="3437"/>
            <w:vAlign w:val="center"/>
          </w:tcPr>
          <w:p>
            <w:pPr>
              <w:spacing w:after="0"/>
              <w:jc w:val="left"/>
            </w:pPr>
            <w:r/>
            <w:r>
              <w:rPr>
                <w:rFonts w:ascii="Arial" w:hAnsi="Arial"/>
                <w:b w:val="0"/>
                <w:sz w:val="16"/>
              </w:rPr>
              <w:t>Structuur plus rechtvaardigheid. Spanning tussen loyaliteit aan systeem en kritisch geweten.</w:t>
            </w:r>
          </w:p>
        </w:tc>
      </w:tr>
    </w:tbl>
    <w:tbl>
      <w:tblPr>
        <w:tblW w:type="auto" w:w="0"/>
        <w:jc w:val="center"/>
        <w:tblLayout w:type="autofit"/>
        <w:tblLook w:firstColumn="1" w:firstRow="1" w:lastColumn="0" w:lastRow="0" w:noHBand="0" w:noVBand="1" w:val="04A0"/>
      </w:tblPr>
      <w:tblGrid>
        <w:gridCol w:w="10312"/>
      </w:tblGrid>
      <w:tr>
        <w:tc>
          <w:tcPr>
            <w:tcW w:type="dxa" w:w="10312"/>
            <w:shd w:fill="F2F2F2"/>
          </w:tcPr>
          <w:p>
            <w:pPr>
              <w:spacing w:after="60"/>
            </w:pPr>
            <w:r>
              <w:rPr>
                <w:rFonts w:ascii="Arial" w:hAnsi="Arial"/>
                <w:b/>
                <w:color w:val="1F4E79"/>
                <w:sz w:val="21"/>
              </w:rPr>
              <w:t>Zelfde-type verbindingen</w:t>
              <w:br/>
            </w:r>
            <w:r>
              <w:rPr>
                <w:rFonts w:ascii="Arial" w:hAnsi="Arial"/>
                <w:sz w:val="19"/>
              </w:rPr>
              <w:t>I+I: autonomie, risico op machtsstrijd. II+II: harmonie en kansen, risico op conflictvermijding. III+III: loyaliteit en stabiliteit, risico op behoudzucht. IV+IV: sterke principes en integratie, risico op overweging zonder scherpe selectie.</w:t>
            </w:r>
          </w:p>
        </w:tc>
      </w:tr>
    </w:tbl>
    <w:p>
      <w:pPr>
        <w:spacing w:after="0"/>
      </w:pPr>
    </w:p>
    <w:p>
      <w:pPr>
        <w:pStyle w:val="Heading1"/>
      </w:pPr>
      <w:r>
        <w:t>10. Interpretatieprotocol</w:t>
      </w:r>
    </w:p>
    <w:p>
      <w:r>
        <w:t>Vaste volgorde voorkomt dat gedrag, waarden en scores door elkaar raken.</w:t>
      </w:r>
    </w:p>
    <w:p>
      <w:pPr>
        <w:pStyle w:val="ListNumber"/>
        <w:spacing w:after="40"/>
      </w:pPr>
      <w:r>
        <w:t>Lees eerst context en gekozen focus van vragenlijst.</w:t>
      </w:r>
    </w:p>
    <w:p>
      <w:pPr>
        <w:pStyle w:val="ListNumber"/>
        <w:spacing w:after="40"/>
      </w:pPr>
      <w:r>
        <w:t>Bepaal DISC-voorkeur: eerste natuurlijke of behoeftegedreven reactie.</w:t>
      </w:r>
    </w:p>
    <w:p>
      <w:pPr>
        <w:pStyle w:val="ListNumber"/>
        <w:spacing w:after="40"/>
      </w:pPr>
      <w:r>
        <w:t>Bepaal waardenperspectief: wat persoon vindt dat juist, zinvol of noodzakelijk is.</w:t>
      </w:r>
    </w:p>
    <w:p>
      <w:pPr>
        <w:pStyle w:val="ListNumber"/>
        <w:spacing w:after="40"/>
      </w:pPr>
      <w:r>
        <w:t>Lees helderheid: hoe eenduidig profiel richting geeft.</w:t>
      </w:r>
    </w:p>
    <w:p>
      <w:pPr>
        <w:pStyle w:val="ListNumber"/>
        <w:spacing w:after="40"/>
      </w:pPr>
      <w:r>
        <w:t>Lees intensiteit: hoe sterk overtuigingen worden gedragen.</w:t>
      </w:r>
    </w:p>
    <w:p>
      <w:pPr>
        <w:pStyle w:val="ListNumber"/>
        <w:spacing w:after="40"/>
      </w:pPr>
      <w:r>
        <w:t>Controleer mengvorm of waardenconflict.</w:t>
      </w:r>
    </w:p>
    <w:p>
      <w:pPr>
        <w:pStyle w:val="ListNumber"/>
        <w:spacing w:after="40"/>
      </w:pPr>
      <w:r>
        <w:t>Pas DISC-waardenmatrix toe voor netto versterking of verzwakking.</w:t>
      </w:r>
    </w:p>
    <w:p>
      <w:pPr>
        <w:pStyle w:val="ListNumber"/>
        <w:spacing w:after="40"/>
      </w:pPr>
      <w:r>
        <w:t>Gebruik typebeschrijving om motief te verklaren, niet om gedrag automatisch te voorspellen.</w:t>
      </w:r>
    </w:p>
    <w:p>
      <w:pPr>
        <w:pStyle w:val="ListNumber"/>
        <w:spacing w:after="40"/>
      </w:pPr>
      <w:r>
        <w:t>Toets interpretatie aan concrete keuzes en handelen, vooral in lastige situaties.</w:t>
      </w:r>
    </w:p>
    <w:p>
      <w:pPr>
        <w:pStyle w:val="ListNumber"/>
        <w:spacing w:after="40"/>
      </w:pPr>
      <w:r>
        <w:t>Benoem afleidingen als hypothese; houd officiele broninhoud apart.</w:t>
      </w:r>
    </w:p>
    <w:p>
      <w:pPr>
        <w:pStyle w:val="Heading1"/>
      </w:pPr>
      <w:r>
        <w:t>11. Verschillen en opgeloste spanning tussen bronnen</w:t>
      </w:r>
    </w:p>
    <w:p>
      <w:pPr>
        <w:pStyle w:val="Heading2"/>
      </w:pPr>
      <w:r>
        <w:t>11.1 Typebeschrijvingen</w:t>
      </w:r>
    </w:p>
    <w:p>
      <w:r>
        <w:t>Eerdere documenten gebruiken soms kortere of zwaardere labels, zoals materialistisch, ongestructureerd, conformeren of persoonlijk activisme. Type-PDF 2025 geeft meer genuanceerde drijfveren. Daarom gebruikt deze bundel oudere labels alleen als modelkenmerk, niet als volledige persoonsbeschrijving.</w:t>
      </w:r>
    </w:p>
    <w:p>
      <w:pPr>
        <w:pStyle w:val="Heading2"/>
      </w:pPr>
      <w:r>
        <w:t>11.2 S + Type III</w:t>
      </w:r>
    </w:p>
    <w:p>
      <w:r>
        <w:t>Hier staat enige bronspanning:</w:t>
      </w:r>
    </w:p>
    <w:p>
      <w:pPr>
        <w:pStyle w:val="ListBullet"/>
        <w:spacing w:after="40"/>
      </w:pPr>
      <w:r>
        <w:t>Schema 2020: Type III versterkt S.</w:t>
      </w:r>
    </w:p>
    <w:p>
      <w:pPr>
        <w:pStyle w:val="ListBullet"/>
        <w:spacing w:after="40"/>
      </w:pPr>
      <w:r>
        <w:t>Verdieping 2021, slide/pagina over S: Type III verzwakt S omdat persoon anderen op verantwoordelijkheid moet aanspreken en nee moet kunnen zeggen.</w:t>
      </w:r>
    </w:p>
    <w:tbl>
      <w:tblPr>
        <w:tblW w:type="auto" w:w="0"/>
        <w:jc w:val="center"/>
        <w:tblLayout w:type="autofit"/>
        <w:tblLook w:firstColumn="1" w:firstRow="1" w:lastColumn="0" w:lastRow="0" w:noHBand="0" w:noVBand="1" w:val="04A0"/>
      </w:tblPr>
      <w:tblGrid>
        <w:gridCol w:w="10312"/>
      </w:tblGrid>
      <w:tr>
        <w:tc>
          <w:tcPr>
            <w:tcW w:type="dxa" w:w="10312"/>
            <w:shd w:fill="FFF2CC"/>
          </w:tcPr>
          <w:p>
            <w:pPr>
              <w:spacing w:after="60"/>
            </w:pPr>
            <w:r>
              <w:rPr>
                <w:rFonts w:ascii="Arial" w:hAnsi="Arial"/>
                <w:b/>
                <w:color w:val="1F4E79"/>
                <w:sz w:val="21"/>
              </w:rPr>
              <w:t>Geintegreerde uitleg</w:t>
              <w:br/>
            </w:r>
            <w:r>
              <w:rPr>
                <w:rFonts w:ascii="Arial" w:hAnsi="Arial"/>
                <w:sz w:val="19"/>
              </w:rPr>
              <w:t>Netto volgt schema 2020: S + III versterkt. Loyaliteit, stabiliteit, bescherming, geduld en groepsverbondenheid sluiten sterk aan. Verdiepingsslide beschrijft lokale spanning binnen combinatie: Type III kan de toegeeflijke of conflictvermijdende kant van S verzwakken wanneer plicht en grenzen optreden. Dus: kern-S versterkt, meegaandheid soms verzwakt.</w:t>
            </w:r>
          </w:p>
        </w:tc>
      </w:tr>
    </w:tbl>
    <w:p>
      <w:pPr>
        <w:spacing w:after="0"/>
      </w:pPr>
    </w:p>
    <w:p>
      <w:pPr>
        <w:pStyle w:val="Heading2"/>
      </w:pPr>
      <w:r>
        <w:t>11.3 Type IV en actie</w:t>
      </w:r>
    </w:p>
    <w:p>
      <w:r>
        <w:t>Type IV mag niet als passieve of uitsluitend theoretische idealist worden gelezen. Recente typebeschrijving noemt praktische idealist: feitelijke actie, persoonlijk en vaak zonder aandacht op zichzelf.</w:t>
      </w:r>
    </w:p>
    <w:p>
      <w:pPr>
        <w:pStyle w:val="Heading2"/>
      </w:pPr>
      <w:r>
        <w:t>11.4 Type II en mensgerichtheid</w:t>
      </w:r>
    </w:p>
    <w:p>
      <w:r>
        <w:t>Type II is ik-gericht. Mensgerichtheid en harmonie zijn route naar persoonlijke groei en geluk, niet automatisch einddoel op zichzelf.</w:t>
      </w:r>
    </w:p>
    <w:p>
      <w:pPr>
        <w:pStyle w:val="Heading1"/>
      </w:pPr>
      <w:r>
        <w:t>12. Bronregister</w:t>
      </w:r>
    </w:p>
    <w:p>
      <w:r>
        <w:rPr>
          <w:b/>
          <w:color w:val="1F4E79"/>
        </w:rPr>
        <w:t>1. Persoonlijke Waarden vier Type beschrijvingen.pdf (2025)</w:t>
      </w:r>
      <w:r>
        <w:br/>
        <w:t>Beslissende beschrijving Type I-IV: perspectief, karakteristieken, drijfveren, motivatie en demotivatie.</w:t>
      </w:r>
    </w:p>
    <w:p>
      <w:r>
        <w:rPr>
          <w:b/>
          <w:color w:val="1F4E79"/>
        </w:rPr>
        <w:t>2. 6_Schema invloed WAARDEN en DISC.docx (2020)</w:t>
      </w:r>
      <w:r>
        <w:br/>
        <w:t>Leidend voor netto versterking (&gt;) en verzwakking (&lt;) tussen waarden en DISC.</w:t>
      </w:r>
    </w:p>
    <w:p>
      <w:r>
        <w:rPr>
          <w:b/>
          <w:color w:val="1F4E79"/>
        </w:rPr>
        <w:t>3. 5_Persoonlijke Waarden Verdieping.pdf (2021)</w:t>
      </w:r>
      <w:r>
        <w:br/>
        <w:t>Leidend voor helderheid, intensiteit en uitleg van zichtbare DISC-waardenwerking.</w:t>
      </w:r>
    </w:p>
    <w:p>
      <w:r>
        <w:rPr>
          <w:b/>
          <w:color w:val="1F4E79"/>
        </w:rPr>
        <w:t>4. Waarden Certificatie_nieuw EK Oud.pptx (2019)</w:t>
      </w:r>
      <w:r>
        <w:br/>
        <w:t>Modelstructuur: rechten/verantwoordelijkheden, doelen/inzet, voorbeelden en ontwikkelacties.</w:t>
      </w:r>
    </w:p>
    <w:p>
      <w:r>
        <w:rPr>
          <w:b/>
          <w:color w:val="1F4E79"/>
        </w:rPr>
        <w:t>5. Q4 Waarden Certificatie Handboek...pdf (2018)</w:t>
      </w:r>
      <w:r>
        <w:br/>
        <w:t>Theoretische basis: overtuigingen, behoeften, systematiek, mengvormen en waardenconflict.</w:t>
      </w:r>
    </w:p>
    <w:p>
      <w:pPr>
        <w:pStyle w:val="Heading2"/>
      </w:pPr>
      <w:r>
        <w:t>Meegeleverde referentiekaarten</w:t>
      </w:r>
    </w:p>
    <w:p>
      <w:pPr>
        <w:pStyle w:val="ListBullet"/>
        <w:spacing w:after="40"/>
      </w:pPr>
      <w:r>
        <w:t>01_DISC_Waarden_versterken_verzwakken_D_en_I.png</w:t>
      </w:r>
    </w:p>
    <w:p>
      <w:pPr>
        <w:pStyle w:val="ListBullet"/>
        <w:spacing w:after="40"/>
      </w:pPr>
      <w:r>
        <w:t>02_DISC_Waarden_versterken_verzwakken_S_en_C.png</w:t>
      </w:r>
    </w:p>
    <w:p>
      <w:pPr>
        <w:pStyle w:val="ListBullet"/>
        <w:spacing w:after="40"/>
      </w:pPr>
      <w:r>
        <w:t>03_Matrix_invloed_Waarden_op_DISC.png</w:t>
      </w:r>
    </w:p>
    <w:tbl>
      <w:tblPr>
        <w:tblW w:type="auto" w:w="0"/>
        <w:jc w:val="center"/>
        <w:tblLayout w:type="autofit"/>
        <w:tblLook w:firstColumn="1" w:firstRow="1" w:lastColumn="0" w:lastRow="0" w:noHBand="0" w:noVBand="1" w:val="04A0"/>
      </w:tblPr>
      <w:tblGrid>
        <w:gridCol w:w="10312"/>
      </w:tblGrid>
      <w:tr>
        <w:tc>
          <w:tcPr>
            <w:tcW w:type="dxa" w:w="10312"/>
            <w:shd w:fill="E2F0D9"/>
          </w:tcPr>
          <w:p>
            <w:pPr>
              <w:spacing w:after="60"/>
            </w:pPr>
            <w:r>
              <w:rPr>
                <w:rFonts w:ascii="Arial" w:hAnsi="Arial"/>
                <w:b/>
                <w:color w:val="1F4E79"/>
                <w:sz w:val="21"/>
              </w:rPr>
              <w:t>Gebruik</w:t>
              <w:br/>
            </w:r>
            <w:r>
              <w:rPr>
                <w:rFonts w:ascii="Arial" w:hAnsi="Arial"/>
                <w:sz w:val="19"/>
              </w:rPr>
              <w:t>Bundel geschikt als naslag voor coaching, profielbespreking en opleiding. Niet gebruiken als diagnose of als automatische voorspeller van gedrag. Context, DISC, waardenhelderheid, intensiteit en concrete keuzes blijven nodig.</w:t>
            </w:r>
          </w:p>
        </w:tc>
      </w:tr>
    </w:tbl>
    <w:p>
      <w:pPr>
        <w:spacing w:after="0"/>
      </w:pPr>
    </w:p>
    <w:sectPr w:rsidR="00FC693F" w:rsidRPr="0006063C" w:rsidSect="00034616">
      <w:headerReference w:type="default" r:id="rId9"/>
      <w:footerReference w:type="default" r:id="rId10"/>
      <w:pgSz w:w="12240" w:h="15840"/>
      <w:pgMar w:top="964"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6"/>
      </w:rPr>
      <w:t xml:space="preserve">Interne synthese | </w:t>
    </w:r>
    <w:r>
      <w:rPr>
        <w:rFonts w:ascii="Arial" w:hAnsi="Arial"/>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Q4 Persoonlijke Waarden - geintegreerde kennisbundel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75F9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on">
    <w:name w:val="Bron"/>
    <w:pPr>
      <w:spacing w:after="100"/>
    </w:pPr>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