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now verified across four documents and six recorded runs, not one.</w:t>
      </w:r>
      <w:r>
        <w:rPr>
          <w:sz w:val="21"/>
          <w:szCs w:val="21"/>
        </w:rPr>
        <w:t xml:space="preserve"> A small clinical trial protocol (3 chunks), RFC 6749 — the OAuth 2.0 specification, 182 chunks, the actual scale this system is meant for — a commercial services agreement (4 chunks), and a small REST API specification (4 chunks). Thirty-two hand-written claims in total across the four, spanning true, contradicting, entirely absent, and genuinely on-topic-but-unstated. Every run went through Ollama Cloud's gpt-oss:120b; every claim in every run came back with a real citation and a verdict a person can check against quoted document text.</w:t>
      </w:r>
    </w:p>
    <w:p>
      <w:pPr>
        <w:spacing w:after="140" w:line="300"/>
      </w:pPr>
      <w:r>
        <w:rPr>
          <w:sz w:val="21"/>
          <w:szCs w:val="21"/>
        </w:rPr>
        <w:t xml:space="preserve">The larger run produced a finding the smaller ones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A second, different failure mode showed up on the services agreement: several concepts came back at zero coverage despite every claim's retrieval touching the document's entire 4-chunk span, because the census itself could not confidently verify which chunk a handful of single-instance concepts live in. Two documents, two distinct honest reasons the same report can undercount — neither found by design, both found by running it.</w:t>
      </w:r>
    </w:p>
    <w:p>
      <w:pPr>
        <w:spacing w:after="140" w:line="300"/>
      </w:pPr>
      <w:r>
        <w:rPr>
          <w:b/>
          <w:bCs/>
          <w:sz w:val="21"/>
          <w:szCs w:val="21"/>
        </w:rPr>
        <w:t xml:space="preserve">Escalation to a stronger model has now been tested twice with real Anthropic credentials, not zero.</w:t>
      </w:r>
      <w:r>
        <w:rPr>
          <w:sz w:val="21"/>
          <w:szCs w:val="21"/>
        </w:rPr>
        <w:t xml:space="preserve"> On the small document it triggered once (out of four independent attempts) and confirmed the first model's verdict rather than overturning it. On RFC 6749, run again with credentials configured, it never triggered at all — both contradictions in that run landed unanimous. One confirmation and one non-trigger, across five credentialed attempts total, is the honest current state of what this project knows about whether escalation ever changes anything here.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A second defect was found the same way this project finds most of its defects — by running the thing: an unquoted comma in a hand-written claim's own text silently truncated it via ordinary CSV parsing, and a transient 500 from the cloud model mid-run was logged and survived rather than taking the whole extraction down. Both are named in their own sections below rather than quietly fixed and left unmentioned.</w:t>
      </w:r>
    </w:p>
    <w:p>
      <w:pPr>
        <w:spacing w:after="140" w:line="300"/>
      </w:pPr>
      <w:r>
        <w:rPr>
          <w:sz w:val="21"/>
          <w:szCs w:val="21"/>
        </w:rPr>
        <w:t xml:space="preserve">Three further threads run through the second half of this paper, all opened by direct feedback on the report rather than by design review: </w:t>
      </w:r>
      <w:r>
        <w:rPr>
          <w:b/>
          <w:bCs/>
          <w:sz w:val="21"/>
          <w:szCs w:val="21"/>
        </w:rPr>
        <w:t xml:space="preserve">every remaining blank cell in the exported report — a pass with no stated reason, a gap with no stated cause, a quality verdict left as a bare dash — was found and replaced with an actual explanation</w:t>
      </w:r>
      <w:r>
        <w:rPr>
          <w:sz w:val="21"/>
          <w:szCs w:val="21"/>
        </w:rPr>
        <w:t xml:space="preserve">, which surfaced a real defect of its own (the run's own token cost was being tracked per client but never actually recorded, anywhere, for any phase, the whole time); </w:t>
      </w:r>
      <w:r>
        <w:rPr>
          <w:b/>
          <w:bCs/>
          <w:sz w:val="21"/>
          <w:szCs w:val="21"/>
        </w:rPr>
        <w:t xml:space="preserve">a direct investigation into why the census disagrees with itself run to run</w:t>
      </w:r>
      <w:r>
        <w:rPr>
          <w:sz w:val="21"/>
          <w:szCs w:val="21"/>
        </w:rPr>
        <w:t xml:space="preserve"> measured two real, partial fixes and one still-open cause; and </w:t>
      </w:r>
      <w:r>
        <w:rPr>
          <w:b/>
          <w:bCs/>
          <w:sz w:val="21"/>
          <w:szCs w:val="21"/>
        </w:rPr>
        <w:t xml:space="preserve">a second, optional entailment judge</w:t>
      </w:r>
      <w:r>
        <w:rPr>
          <w:sz w:val="21"/>
          <w:szCs w:val="21"/>
        </w:rPr>
        <w:t xml:space="preserve"> was built and verified live to read confidence directly from a model's own token probabilities instead of voting across three repeated calls — which immediately surfaced a live defect of its own before it ever shipped.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Real credentials were configured afterward, specifically to answer that question.</w:t>
      </w:r>
      <w:r>
        <w:rPr>
          <w:sz w:val="21"/>
          <w:szCs w:val="21"/>
        </w:rPr>
        <w:t xml:space="preserve"> Escalation only triggers on a doubtful verdict — undecided, or a contradiction the judge's own three runs didn't agree on unanimously — so the same four claims were run repeatedly until one actually qualified. Three of four independent attempts came back fully unanimous on every claim, needing no escalation at all; on the fourth, C1's "over 18" versus "at least 18" case split, triggered escalation, and completed. The stronger model, claude-sonnet-5, ran its own independent three-pass consensus and reached the same answer: contradicts, confirmed rather than overturned. That needing four attempts to catch one escalating case is itself a finding, not an inconvenience — most of the time this specific judge is unanimous with itself on these four claims; occasionally it is not, and this is what happens on the occasions it isn't.</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spacing w:after="140" w:line="300"/>
      </w:pPr>
      <w:r>
        <w:rPr>
          <w:b/>
          <w:bCs/>
          <w:sz w:val="21"/>
          <w:szCs w:val="21"/>
        </w:rPr>
        <w:t xml:space="preserve">The same document and claims were run again afterward with real Anthropic credentials configured, specifically to see whether escalation would trigger here the way it once had on the small document.</w:t>
      </w:r>
      <w:r>
        <w:rPr>
          <w:sz w:val="21"/>
          <w:szCs w:val="21"/>
        </w:rPr>
        <w:t xml:space="preserve"> It reused the cached ontology — 506.6 seconds this time, most of the difference being the extraction this run skipped — and reached the same four judged categories as before: two mentions_only, two entails, two contradicts (C4, C5), one no_evidence. Both contradictions came back unanimous (3/3) again, so nothing qualified for escalation and nothing ran. A null result, reported as one: this claim set on this document simply does not produce the split verdict escalation needs, at least not on the runs observed so far.</w:t>
      </w:r>
    </w:p>
    <w:p>
      <w:pPr>
        <w:spacing w:after="140" w:line="300"/>
      </w:pPr>
      <w:r>
        <w:rPr>
          <w:sz w:val="21"/>
          <w:szCs w:val="21"/>
        </w:rPr>
        <w:t xml:space="preserve">One further thing moved between the two RFC 6749 runs despite everything else matching: concepts_covered in the gap report dropped from 4 to 2. Same cached ontology, same eight claims, same chunk indices cited — only the census's own fresh three-pass read differed, and that alone was enough to flip two concepts (role, parameter) from some coverage to none. The gap report's answer depends on a measurement that moves even when nothing else does.</w:t>
      </w:r>
    </w:p>
    <w:p>
      <w:pPr>
        <w:pStyle w:val="Heading1"/>
        <w:pBdr>
          <w:bottom w:val="single" w:color="C8C8C8" w:sz="6" w:space="6"/>
        </w:pBdr>
        <w:spacing w:after="160" w:before="380"/>
      </w:pPr>
      <w:r>
        <w:rPr>
          <w:b/>
          <w:bCs/>
          <w:color w:val="1F4E79"/>
          <w:sz w:val="30"/>
          <w:szCs w:val="30"/>
        </w:rPr>
        <w:t xml:space="preserve">Two more documents, two different domains</w:t>
      </w:r>
    </w:p>
    <w:p>
      <w:pPr>
        <w:spacing w:after="140" w:line="300"/>
      </w:pPr>
      <w:r>
        <w:rPr>
          <w:sz w:val="21"/>
          <w:szCs w:val="21"/>
        </w:rPr>
        <w:t xml:space="preserve">A commercial services agreement (a contract between two companies, 4 chunks) and a small REST API specification (4 chunks) — neither previously run against this system, both with eight hand-written claims of their own, both with real credentials configured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200"/>
        <w:gridCol w:w="3260"/>
      </w:tblGrid>
      <w:tr>
        <w:trPr>
          <w:cantSplit/>
          <w:tblHeader/>
        </w:trPr>
        <w:tc>
          <w:tcPr>
            <w:tcW w:type="dxa" w:w="1900"/>
            <w:shd w:fill="1F4E79" w:val="clear"/>
            <w:tcMar>
              <w:top w:type="dxa" w:w="80"/>
              <w:left w:type="dxa" w:w="110"/>
              <w:bottom w:type="dxa" w:w="80"/>
              <w:right w:type="dxa" w:w="110"/>
            </w:tcMar>
          </w:tcPr>
          <w:p>
            <w:pPr>
              <w:spacing w:after="0" w:line="260"/>
            </w:pPr>
            <w:r>
              <w:rPr>
                <w:b/>
                <w:bCs/>
                <w:color w:val="FFFFFF"/>
                <w:sz w:val="19"/>
                <w:szCs w:val="19"/>
              </w:rPr>
              <w:t xml:space="preserve">Document</w:t>
            </w:r>
          </w:p>
        </w:tc>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Verdicts</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Escalation</w:t>
            </w:r>
          </w:p>
        </w:tc>
        <w:tc>
          <w:tcPr>
            <w:tcW w:type="dxa" w:w="3260"/>
            <w:shd w:fill="1F4E79" w:val="clear"/>
            <w:tcMar>
              <w:top w:type="dxa" w:w="80"/>
              <w:left w:type="dxa" w:w="110"/>
              <w:bottom w:type="dxa" w:w="80"/>
              <w:right w:type="dxa" w:w="110"/>
            </w:tcMar>
          </w:tcPr>
          <w:p>
            <w:pPr>
              <w:spacing w:after="0" w:line="260"/>
            </w:pPr>
            <w:r>
              <w:rPr>
                <w:b/>
                <w:bCs/>
                <w:color w:val="FFFFFF"/>
                <w:sz w:val="19"/>
                <w:szCs w:val="19"/>
              </w:rPr>
              <w:t xml:space="preserve">What stood out</w:t>
            </w:r>
          </w:p>
        </w:tc>
      </w:tr>
      <w:tr>
        <w:trPr>
          <w:cantSplit/>
        </w:trPr>
        <w:tc>
          <w:tcPr>
            <w:tcW w:type="dxa" w:w="1900"/>
            <w:tcMar>
              <w:top w:type="dxa" w:w="80"/>
              <w:left w:type="dxa" w:w="110"/>
              <w:bottom w:type="dxa" w:w="80"/>
              <w:right w:type="dxa" w:w="110"/>
            </w:tcMar>
          </w:tcPr>
          <w:p>
            <w:pPr>
              <w:spacing w:after="0" w:line="260"/>
            </w:pPr>
            <w:r>
              <w:rPr>
                <w:sz w:val="19"/>
                <w:szCs w:val="19"/>
              </w:rPr>
              <w:t xml:space="preserve">Services agreement</w:t>
            </w:r>
          </w:p>
        </w:tc>
        <w:tc>
          <w:tcPr>
            <w:tcW w:type="dxa" w:w="2000"/>
            <w:tcMar>
              <w:top w:type="dxa" w:w="80"/>
              <w:left w:type="dxa" w:w="110"/>
              <w:bottom w:type="dxa" w:w="80"/>
              <w:right w:type="dxa" w:w="110"/>
            </w:tcMar>
          </w:tcPr>
          <w:p>
            <w:pPr>
              <w:spacing w:after="0" w:line="260"/>
            </w:pPr>
            <w:r>
              <w:rPr>
                <w:sz w:val="19"/>
                <w:szCs w:val="19"/>
              </w:rPr>
              <w:t xml:space="preserve">3 entailed, 4 contradicted, 1 no_evidence</w:t>
            </w:r>
          </w:p>
        </w:tc>
        <w:tc>
          <w:tcPr>
            <w:tcW w:type="dxa" w:w="2200"/>
            <w:tcMar>
              <w:top w:type="dxa" w:w="80"/>
              <w:left w:type="dxa" w:w="110"/>
              <w:bottom w:type="dxa" w:w="80"/>
              <w:right w:type="dxa" w:w="110"/>
            </w:tcMar>
          </w:tcPr>
          <w:p>
            <w:pPr>
              <w:spacing w:after="0" w:line="260"/>
            </w:pPr>
            <w:r>
              <w:rPr>
                <w:sz w:val="19"/>
                <w:szCs w:val="19"/>
              </w:rPr>
              <w:t xml:space="preserve">none triggered</w:t>
            </w:r>
          </w:p>
        </w:tc>
        <w:tc>
          <w:tcPr>
            <w:tcW w:type="dxa" w:w="3260"/>
            <w:tcMar>
              <w:top w:type="dxa" w:w="80"/>
              <w:left w:type="dxa" w:w="110"/>
              <w:bottom w:type="dxa" w:w="80"/>
              <w:right w:type="dxa" w:w="110"/>
            </w:tcMar>
          </w:tcPr>
          <w:p>
            <w:pPr>
              <w:spacing w:after="0" w:line="260"/>
            </w:pPr>
            <w:r>
              <w:rPr>
                <w:sz w:val="19"/>
                <w:szCs w:val="19"/>
              </w:rPr>
              <w:t xml:space="preserve">correctly contradicted a fabricated "arbitration in Singapore" claim against a document that actually names the English courts</w:t>
            </w:r>
          </w:p>
        </w:tc>
      </w:tr>
      <w:tr>
        <w:trPr>
          <w:cantSplit/>
        </w:trPr>
        <w:tc>
          <w:tcPr>
            <w:tcW w:type="dxa" w:w="1900"/>
            <w:shd w:fill="F7F9FB" w:val="clear"/>
            <w:tcMar>
              <w:top w:type="dxa" w:w="80"/>
              <w:left w:type="dxa" w:w="110"/>
              <w:bottom w:type="dxa" w:w="80"/>
              <w:right w:type="dxa" w:w="110"/>
            </w:tcMar>
          </w:tcPr>
          <w:p>
            <w:pPr>
              <w:spacing w:after="0" w:line="260"/>
            </w:pPr>
            <w:r>
              <w:rPr>
                <w:sz w:val="19"/>
                <w:szCs w:val="19"/>
              </w:rPr>
              <w:t xml:space="preserve">Auth API spec</w:t>
            </w:r>
          </w:p>
        </w:tc>
        <w:tc>
          <w:tcPr>
            <w:tcW w:type="dxa" w:w="2000"/>
            <w:shd w:fill="F7F9FB" w:val="clear"/>
            <w:tcMar>
              <w:top w:type="dxa" w:w="80"/>
              <w:left w:type="dxa" w:w="110"/>
              <w:bottom w:type="dxa" w:w="80"/>
              <w:right w:type="dxa" w:w="110"/>
            </w:tcMar>
          </w:tcPr>
          <w:p>
            <w:pPr>
              <w:spacing w:after="0" w:line="260"/>
            </w:pPr>
            <w:r>
              <w:rPr>
                <w:sz w:val="19"/>
                <w:szCs w:val="19"/>
              </w:rPr>
              <w:t xml:space="preserve">4 entailed, 2 mentions_only, 2 contradicted</w:t>
            </w:r>
          </w:p>
        </w:tc>
        <w:tc>
          <w:tcPr>
            <w:tcW w:type="dxa" w:w="2200"/>
            <w:shd w:fill="F7F9FB" w:val="clear"/>
            <w:tcMar>
              <w:top w:type="dxa" w:w="80"/>
              <w:left w:type="dxa" w:w="110"/>
              <w:bottom w:type="dxa" w:w="80"/>
              <w:right w:type="dxa" w:w="110"/>
            </w:tcMar>
          </w:tcPr>
          <w:p>
            <w:pPr>
              <w:spacing w:after="0" w:line="260"/>
            </w:pPr>
            <w:r>
              <w:rPr>
                <w:sz w:val="19"/>
                <w:szCs w:val="19"/>
              </w:rPr>
              <w:t xml:space="preserve">none triggered</w:t>
            </w:r>
          </w:p>
        </w:tc>
        <w:tc>
          <w:tcPr>
            <w:tcW w:type="dxa" w:w="3260"/>
            <w:shd w:fill="F7F9FB" w:val="clear"/>
            <w:tcMar>
              <w:top w:type="dxa" w:w="80"/>
              <w:left w:type="dxa" w:w="110"/>
              <w:bottom w:type="dxa" w:w="80"/>
              <w:right w:type="dxa" w:w="110"/>
            </w:tcMar>
          </w:tcPr>
          <w:p>
            <w:pPr>
              <w:spacing w:after="0" w:line="260"/>
            </w:pPr>
            <w:r>
              <w:rPr>
                <w:sz w:val="19"/>
                <w:szCs w:val="19"/>
              </w:rPr>
              <w:t xml:space="preserve">gap report showed full coverage (7 of 7 concepts) — likely the same small-document ceiling as the trial protocol, not evidence of unusually thorough claims</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A real defect in this paper's own claim data, caught by its verdict looking wrong rather than by inspection.</w:t>
      </w:r>
      <w:r>
        <w:rPr>
          <w:sz w:val="21"/>
          <w:szCs w:val="21"/>
        </w:rPr>
        <w:t xml:space="preserve"> One services-agreement claim was written with an unquoted comma — "24 hour, 7 day a week customer support" — which ordinary CSV parsing split into extra fields against a two-column header, silently truncating the claim to "The Supplier must provide 24 hour" before it ever reached the judge. The system did not crash on the fragment; it returned a defensible no_evidence verdict on nonsense text, which is exactly the kind of correct-looking wrong answer that make an underlying data defect easy to miss. Found by checking the reason field against the intended claim, not by reading the CSV. Fixed by quoting the field; the corrected claim reached the same final verdict category for the right reason this time — the document genuinely never discusses support hours.</w:t>
      </w:r>
    </w:p>
    <w:p>
      <w:pPr>
        <w:spacing w:after="140" w:line="300"/>
      </w:pPr>
      <w:r>
        <w:rPr>
          <w:sz w:val="21"/>
          <w:szCs w:val="21"/>
        </w:rPr>
        <w:t xml:space="preserve">The auth API run also hit a real, ordinary infrastructure failure mid-run: a transient 500 from the cloud model during the type judge step, logged and survived rather than taking the extraction down. Nothing about this pipeline assumes every model call succeeds; this is the first live case of that assumption actually being exercised rather than only stated.</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2"/>
        <w:spacing w:after="120" w:before="260"/>
      </w:pPr>
      <w:r>
        <w:rPr>
          <w:b/>
          <w:bCs/>
          <w:color w:val="2E2E2E"/>
          <w:sz w:val="24"/>
          <w:szCs w:val="24"/>
        </w:rPr>
        <w:t xml:space="preserve">A second, different way the same number can undercount</w:t>
      </w:r>
    </w:p>
    <w:p>
      <w:pPr>
        <w:spacing w:after="140" w:line="300"/>
      </w:pPr>
      <w:r>
        <w:rPr>
          <w:sz w:val="21"/>
          <w:szCs w:val="21"/>
        </w:rPr>
        <w:t xml:space="preserve">The services agreement's gap report looked, at first, like the same token/http_response story again: concepts_covered came back 1 of 8, despite claims plainly discussing liability, confidentiality, termination and governing law. But the mechanism was not the same. Every one of the eight claims' retrieval touched all four chunks of this document — there was no chunk left over to miss. The census still could not confirm which chunk several single-instance concepts (initial_term, confidentiality_clause, termination_clause) actually live in, so their chunk citation is simply absent rather than pointing somewhere a claim didn't reach — and an absent citation can never register as "addressed", regardless of what any claim cited.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Two distinct honest reasons for the same symptom, not one.</w:t>
      </w:r>
      <w:r>
        <w:rPr>
          <w:sz w:val="21"/>
          <w:szCs w:val="21"/>
        </w:rPr>
        <w:t xml:space="preserve"> RFC 6749's token and http_response concepts went uncounted because claims and census disagreed about which of many chunks mattered — a chunk-coincidence problem that gets worse as a document gets larger and more chunks exist to miss. The services agreement's concepts went uncounted because the census could not pin a location down at all — a citation-verification problem that has nothing to do with document size and showed up on the smallest document tested. Fixing one would not fix the other.</w:t>
      </w:r>
    </w:p>
    <w:p>
      <w:pPr>
        <w:spacing w:after="140" w:line="300"/>
      </w:pPr>
      <w:r>
        <w:rPr>
          <w:sz w:val="21"/>
          <w:szCs w:val="21"/>
        </w:rPr>
        <w:t xml:space="preserve">The auth API spec's gap report is the useful contrast: 7 of 7 concepts fully covered, every citation the census made apparently landing where a claim's retrieval also reached. Same small size as the services agreement, same 4 chunks, opposite result — which is itself the point. "Small document" does not predict which of these two failure modes shows up, or whether either does at all.</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2"/>
        <w:spacing w:after="120" w:before="260"/>
      </w:pPr>
      <w:r>
        <w:rPr>
          <w:b/>
          <w:bCs/>
          <w:color w:val="2E2E2E"/>
          <w:sz w:val="24"/>
          <w:szCs w:val="24"/>
        </w:rPr>
        <w:t xml:space="preserve">A second round, driven by direct feedback rather than design review</w:t>
      </w:r>
    </w:p>
    <w:p>
      <w:pPr>
        <w:spacing w:after="140" w:line="300"/>
      </w:pPr>
      <w:r>
        <w:rPr>
          <w:sz w:val="21"/>
          <w:szCs w:val="21"/>
        </w:rPr>
        <w:t xml:space="preserve">The first round of report changes explained metrics that already had values. The second round targeted a narrower, more specific complaint: cells in the exported report that were blank, or worse, a bare dash — a placeholder that reads as "nothing to say" when what actually happened was that nobody had written the explanation yet.</w:t>
      </w:r>
    </w:p>
    <w:p>
      <w:pPr>
        <w:pStyle w:val="ListParagraph"/>
        <w:numPr>
          <w:ilvl w:val="0"/>
          <w:numId w:val="2"/>
        </w:numPr>
        <w:spacing w:after="90" w:line="300"/>
      </w:pPr>
      <w:r>
        <w:rPr>
          <w:sz w:val="21"/>
          <w:szCs w:val="21"/>
        </w:rPr>
        <w:t xml:space="preserve">Shape checks: a pass previously left its Reason column empty. It now states the specific, observable fact that made it pass — e.g. "Has a title and 68 character(s) of checkable text; not flagged by the active shape rules" — read from the claim itself rather than restating the active rule set verbatim, since a job can override those rules per run.</w:t>
      </w:r>
    </w:p>
    <w:p>
      <w:pPr>
        <w:pStyle w:val="ListParagraph"/>
        <w:numPr>
          <w:ilvl w:val="0"/>
          <w:numId w:val="2"/>
        </w:numPr>
        <w:spacing w:after="90" w:line="300"/>
      </w:pPr>
      <w:r>
        <w:rPr>
          <w:sz w:val="21"/>
          <w:szCs w:val="21"/>
        </w:rPr>
        <w:t xml:space="preserve">Gaps: the Never addressed column previously listed bare instance names. Each name now carries its own reason, distinguishing the report's two independent failure modes at the level of one concept instance rather than only in this paper's prose: a real citation the census verified in a chunk no claim's own citation reached, versus a name the census never verified a location for at all.</w:t>
      </w:r>
    </w:p>
    <w:p>
      <w:pPr>
        <w:pStyle w:val="ListParagraph"/>
        <w:numPr>
          <w:ilvl w:val="0"/>
          <w:numId w:val="2"/>
        </w:numPr>
        <w:spacing w:after="90" w:line="300"/>
      </w:pPr>
      <w:r>
        <w:rPr>
          <w:sz w:val="21"/>
          <w:szCs w:val="21"/>
        </w:rPr>
        <w:t xml:space="preserve">Quality: the ten remaining bare "—" verdict placeholders were replaced with "Informational" — no cell in the sheet reads as undefined any longer.</w:t>
      </w:r>
    </w:p>
    <w:p>
      <w:pPr>
        <w:pStyle w:val="ListParagraph"/>
        <w:numPr>
          <w:ilvl w:val="0"/>
          <w:numId w:val="2"/>
        </w:numPr>
        <w:spacing w:after="90" w:line="300"/>
      </w:pPr>
      <w:r>
        <w:rPr>
          <w:sz w:val="21"/>
          <w:szCs w:val="21"/>
        </w:rPr>
        <w:t xml:space="preserve">Token and cost tracking, added to the Quality tab: llm_calls, input_tokens, output_tokens, total_tokens, cost_cents — with cost_cents reporting the literal string "not available" rather than a fabricated number when no price is configured, the same no-invented-numbers discipline this whole project already applies to everything else it reports.</w:t>
      </w:r>
    </w:p>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Verifying the gap reason change against a live rerun surfaced the same census instability this paper has already documented, now visible one instance at a time for the first time.</w:t>
      </w:r>
      <w:r>
        <w:rPr>
          <w:sz w:val="21"/>
          <w:szCs w:val="21"/>
        </w:rPr>
        <w:t xml:space="preserve"> An earlier run of the services agreement (see above) reported the party concept fully covered, both Customer and Supplier addressed. A fresh rerun, seconds later, on the identical cached ontology, reported Customer specifically as never addressed — "no verified citation — the census never confirmed a location for this name, independent of what any claim cited." Not a new bug: the same finding already reported for parameter (21–31) and treatment_regimen (1–3), now visible per concept instance rather than only as a count that moved.</w:t>
      </w:r>
    </w:p>
    <w:p>
      <w:pPr>
        <w:spacing w:after="140" w:line="300"/>
      </w:pPr>
      <w:r>
        <w:rPr>
          <w:sz w:val="21"/>
          <w:szCs w:val="21"/>
        </w:rPr>
        <w:t xml:space="preserve">A separate, unrelated defect surfaced while wiring the token totals through: RunTracker.finish() already accepted tokens_used and cost_cents — the database schema and the method signature were both already there, copied in along with everything else — but every phase of every run had always called it with neither. The database's own audit trail had recorded zero tokens spent on every phase, of every run, for the whole life of this project, while the actual client-level totals were real and correct the entire time. Fixed by snapshotting the client's running usage before and after each phase and recording the difference — both to the database (so a phase execution's own token cost is now queryable after the fact) and to a new Usage by phase tab in the exported report, so a slow or expensive run says which phase actually cost the tokens rather than only stating a whole-run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1600"/>
        <w:gridCol w:w="160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Phase</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Calls</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Input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Output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Total tok.</w:t>
            </w:r>
          </w:p>
        </w:tc>
      </w:tr>
      <w:tr>
        <w:trPr>
          <w:cantSplit/>
        </w:trPr>
        <w:tc>
          <w:tcPr>
            <w:tcW w:type="dxa" w:w="2400"/>
            <w:tcMar>
              <w:top w:type="dxa" w:w="80"/>
              <w:left w:type="dxa" w:w="110"/>
              <w:bottom w:type="dxa" w:w="80"/>
              <w:right w:type="dxa" w:w="110"/>
            </w:tcMar>
          </w:tcPr>
          <w:p>
            <w:pPr>
              <w:spacing w:after="0" w:line="260"/>
            </w:pPr>
            <w:r>
              <w:rPr>
                <w:sz w:val="19"/>
                <w:szCs w:val="19"/>
              </w:rPr>
              <w:t xml:space="preserve">Ontology (build or reuse)</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Retrieval</w:t>
            </w:r>
          </w:p>
        </w:tc>
        <w:tc>
          <w:tcPr>
            <w:tcW w:type="dxa" w:w="12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r>
      <w:tr>
        <w:trPr>
          <w:cantSplit/>
        </w:trPr>
        <w:tc>
          <w:tcPr>
            <w:tcW w:type="dxa" w:w="2400"/>
            <w:tcMar>
              <w:top w:type="dxa" w:w="80"/>
              <w:left w:type="dxa" w:w="110"/>
              <w:bottom w:type="dxa" w:w="80"/>
              <w:right w:type="dxa" w:w="110"/>
            </w:tcMar>
          </w:tcPr>
          <w:p>
            <w:pPr>
              <w:spacing w:after="0" w:line="260"/>
            </w:pPr>
            <w:r>
              <w:rPr>
                <w:sz w:val="19"/>
                <w:szCs w:val="19"/>
              </w:rPr>
              <w:t xml:space="preserve">Shape check</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Entailment judge</w:t>
            </w:r>
          </w:p>
        </w:tc>
        <w:tc>
          <w:tcPr>
            <w:tcW w:type="dxa" w:w="1200"/>
            <w:shd w:fill="F7F9FB" w:val="clear"/>
            <w:tcMar>
              <w:top w:type="dxa" w:w="80"/>
              <w:left w:type="dxa" w:w="110"/>
              <w:bottom w:type="dxa" w:w="80"/>
              <w:right w:type="dxa" w:w="110"/>
            </w:tcMar>
          </w:tcPr>
          <w:p>
            <w:pPr>
              <w:spacing w:after="0" w:line="260"/>
            </w:pPr>
            <w:r>
              <w:rPr>
                <w:sz w:val="19"/>
                <w:szCs w:val="19"/>
              </w:rPr>
              <w:t xml:space="preserve">3</w:t>
            </w:r>
          </w:p>
        </w:tc>
        <w:tc>
          <w:tcPr>
            <w:tcW w:type="dxa" w:w="1600"/>
            <w:shd w:fill="F7F9FB" w:val="clear"/>
            <w:tcMar>
              <w:top w:type="dxa" w:w="80"/>
              <w:left w:type="dxa" w:w="110"/>
              <w:bottom w:type="dxa" w:w="80"/>
              <w:right w:type="dxa" w:w="110"/>
            </w:tcMar>
          </w:tcPr>
          <w:p>
            <w:pPr>
              <w:spacing w:after="0" w:line="260"/>
            </w:pPr>
            <w:r>
              <w:rPr>
                <w:sz w:val="19"/>
                <w:szCs w:val="19"/>
              </w:rPr>
              <w:t xml:space="preserve">5,565</w:t>
            </w:r>
          </w:p>
        </w:tc>
        <w:tc>
          <w:tcPr>
            <w:tcW w:type="dxa" w:w="1600"/>
            <w:shd w:fill="F7F9FB" w:val="clear"/>
            <w:tcMar>
              <w:top w:type="dxa" w:w="80"/>
              <w:left w:type="dxa" w:w="110"/>
              <w:bottom w:type="dxa" w:w="80"/>
              <w:right w:type="dxa" w:w="110"/>
            </w:tcMar>
          </w:tcPr>
          <w:p>
            <w:pPr>
              <w:spacing w:after="0" w:line="260"/>
            </w:pPr>
            <w:r>
              <w:rPr>
                <w:sz w:val="19"/>
                <w:szCs w:val="19"/>
              </w:rPr>
              <w:t xml:space="preserve">1,419</w:t>
            </w:r>
          </w:p>
        </w:tc>
        <w:tc>
          <w:tcPr>
            <w:tcW w:type="dxa" w:w="1600"/>
            <w:shd w:fill="F7F9FB" w:val="clear"/>
            <w:tcMar>
              <w:top w:type="dxa" w:w="80"/>
              <w:left w:type="dxa" w:w="110"/>
              <w:bottom w:type="dxa" w:w="80"/>
              <w:right w:type="dxa" w:w="110"/>
            </w:tcMar>
          </w:tcPr>
          <w:p>
            <w:pPr>
              <w:spacing w:after="0" w:line="260"/>
            </w:pPr>
            <w:r>
              <w:rPr>
                <w:sz w:val="19"/>
                <w:szCs w:val="19"/>
              </w:rPr>
              <w:t xml:space="preserve">6,984</w:t>
            </w:r>
          </w:p>
        </w:tc>
      </w:tr>
      <w:tr>
        <w:trPr>
          <w:cantSplit/>
        </w:trPr>
        <w:tc>
          <w:tcPr>
            <w:tcW w:type="dxa" w:w="2400"/>
            <w:tcMar>
              <w:top w:type="dxa" w:w="80"/>
              <w:left w:type="dxa" w:w="110"/>
              <w:bottom w:type="dxa" w:w="80"/>
              <w:right w:type="dxa" w:w="110"/>
            </w:tcMar>
          </w:tcPr>
          <w:p>
            <w:pPr>
              <w:spacing w:after="0" w:line="260"/>
            </w:pPr>
            <w:r>
              <w:rPr>
                <w:sz w:val="19"/>
                <w:szCs w:val="19"/>
              </w:rPr>
              <w:t xml:space="preserve">Gap report (census)</w:t>
            </w:r>
          </w:p>
        </w:tc>
        <w:tc>
          <w:tcPr>
            <w:tcW w:type="dxa" w:w="1200"/>
            <w:tcMar>
              <w:top w:type="dxa" w:w="80"/>
              <w:left w:type="dxa" w:w="110"/>
              <w:bottom w:type="dxa" w:w="80"/>
              <w:right w:type="dxa" w:w="110"/>
            </w:tcMar>
          </w:tcPr>
          <w:p>
            <w:pPr>
              <w:spacing w:after="0" w:line="260"/>
            </w:pPr>
            <w:r>
              <w:rPr>
                <w:sz w:val="19"/>
                <w:szCs w:val="19"/>
              </w:rPr>
              <w:t xml:space="preserve">8</w:t>
            </w:r>
          </w:p>
        </w:tc>
        <w:tc>
          <w:tcPr>
            <w:tcW w:type="dxa" w:w="1600"/>
            <w:tcMar>
              <w:top w:type="dxa" w:w="80"/>
              <w:left w:type="dxa" w:w="110"/>
              <w:bottom w:type="dxa" w:w="80"/>
              <w:right w:type="dxa" w:w="110"/>
            </w:tcMar>
          </w:tcPr>
          <w:p>
            <w:pPr>
              <w:spacing w:after="0" w:line="260"/>
            </w:pPr>
            <w:r>
              <w:rPr>
                <w:sz w:val="19"/>
                <w:szCs w:val="19"/>
              </w:rPr>
              <w:t xml:space="preserve">5,156</w:t>
            </w:r>
          </w:p>
        </w:tc>
        <w:tc>
          <w:tcPr>
            <w:tcW w:type="dxa" w:w="1600"/>
            <w:tcMar>
              <w:top w:type="dxa" w:w="80"/>
              <w:left w:type="dxa" w:w="110"/>
              <w:bottom w:type="dxa" w:w="80"/>
              <w:right w:type="dxa" w:w="110"/>
            </w:tcMar>
          </w:tcPr>
          <w:p>
            <w:pPr>
              <w:spacing w:after="0" w:line="260"/>
            </w:pPr>
            <w:r>
              <w:rPr>
                <w:sz w:val="19"/>
                <w:szCs w:val="19"/>
              </w:rPr>
              <w:t xml:space="preserve">12,677</w:t>
            </w:r>
          </w:p>
        </w:tc>
        <w:tc>
          <w:tcPr>
            <w:tcW w:type="dxa" w:w="1600"/>
            <w:tcMar>
              <w:top w:type="dxa" w:w="80"/>
              <w:left w:type="dxa" w:w="110"/>
              <w:bottom w:type="dxa" w:w="80"/>
              <w:right w:type="dxa" w:w="110"/>
            </w:tcMar>
          </w:tcPr>
          <w:p>
            <w:pPr>
              <w:spacing w:after="0" w:line="260"/>
            </w:pPr>
            <w:r>
              <w:rPr>
                <w:sz w:val="19"/>
                <w:szCs w:val="19"/>
              </w:rPr>
              <w:t xml:space="preserve">17,833</w:t>
            </w:r>
          </w:p>
        </w:tc>
      </w:tr>
    </w:tbl>
    <w:p>
      <w:pPr>
        <w:spacing w:after="160"/>
      </w:pPr>
    </w:p>
    <w:p>
      <w:pPr>
        <w:spacing w:after="140" w:line="300"/>
      </w:pPr>
      <w:r>
        <w:rPr>
          <w:sz w:val="21"/>
          <w:szCs w:val="21"/>
        </w:rPr>
        <w:t xml:space="preserve">A real trial-protocol run, quoted directly: ontology reused (no calls), retrieval found a match without needing its LLM fallback (no calls), the shape check runs no model call by design, and the two phases that actually spend tokens — judging and censusing — now say so individually rather than only contributing to one combined number.</w:t>
      </w:r>
    </w:p>
    <w:p>
      <w:pPr>
        <w:pStyle w:val="Heading1"/>
        <w:pBdr>
          <w:bottom w:val="single" w:color="C8C8C8" w:sz="6" w:space="6"/>
        </w:pBdr>
        <w:spacing w:after="160" w:before="380"/>
      </w:pPr>
      <w:r>
        <w:rPr>
          <w:b/>
          <w:bCs/>
          <w:color w:val="1F4E79"/>
          <w:sz w:val="30"/>
          <w:szCs w:val="30"/>
        </w:rPr>
        <w:t xml:space="preserve">Chasing down census instability</w:t>
      </w:r>
    </w:p>
    <w:p>
      <w:pPr>
        <w:spacing w:after="140" w:line="300"/>
      </w:pPr>
      <w:r>
        <w:rPr>
          <w:sz w:val="21"/>
          <w:szCs w:val="21"/>
        </w:rPr>
        <w:t xml:space="preserve">A direct question — how do we fix census instability — led to research rather than a guess: the self-consistency literature (repeat and vote, which census_repeated already does), Google's LangExtract (overlapping chunk windows and position-grounded deduplication, neither yet adopted here), and DeepEval/G-Eval's own methodology (explicit, decomposed evaluation steps, and log-probability-weighted scoring in place of repeated sampling). Two of these were implemented and measured directly rather than assumed to help.</w:t>
      </w:r>
    </w:p>
    <w:p>
      <w:pPr>
        <w:pStyle w:val="Heading2"/>
        <w:spacing w:after="120" w:before="260"/>
      </w:pPr>
      <w:r>
        <w:rPr>
          <w:b/>
          <w:bCs/>
          <w:color w:val="2E2E2E"/>
          <w:sz w:val="24"/>
          <w:szCs w:val="24"/>
        </w:rPr>
        <w:t xml:space="preserve">Temperature, measured rather than assumed</w:t>
      </w:r>
    </w:p>
    <w:p>
      <w:pPr>
        <w:spacing w:after="140" w:line="300"/>
      </w:pPr>
      <w:r>
        <w:rPr>
          <w:sz w:val="21"/>
          <w:szCs w:val="21"/>
        </w:rPr>
        <w:t xml:space="preserve">Nothing in this pipeline had ever set a sampling temperature for a census call — every call ran at whatever the provider's own default was, 1.0 for a typical chat completion, with no stated reason to want creative variety in a task that is pure enumeration: counting what is actually stated, not composing prose. Pinned near zero (0.01, not exactly 0, since some providers treat 0 as "use the default") for census calls specifically, and measured with a controlled A/B — same client, same three runs, only temperature differing.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12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Concept (RFC 6749)</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Before (temp 1.0)</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After (temp 0.01)</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Spread</w:t>
            </w:r>
          </w:p>
        </w:tc>
      </w:tr>
      <w:tr>
        <w:trPr>
          <w:cantSplit/>
        </w:trPr>
        <w:tc>
          <w:tcPr>
            <w:tcW w:type="dxa" w:w="2600"/>
            <w:tcMar>
              <w:top w:type="dxa" w:w="80"/>
              <w:left w:type="dxa" w:w="110"/>
              <w:bottom w:type="dxa" w:w="80"/>
              <w:right w:type="dxa" w:w="110"/>
            </w:tcMar>
          </w:tcPr>
          <w:p>
            <w:pPr>
              <w:spacing w:after="0" w:line="260"/>
            </w:pPr>
            <w:r>
              <w:rPr>
                <w:sz w:val="19"/>
                <w:szCs w:val="19"/>
              </w:rPr>
              <w:t xml:space="preserve">role</w:t>
            </w:r>
          </w:p>
        </w:tc>
        <w:tc>
          <w:tcPr>
            <w:tcW w:type="dxa" w:w="2200"/>
            <w:tcMar>
              <w:top w:type="dxa" w:w="80"/>
              <w:left w:type="dxa" w:w="110"/>
              <w:bottom w:type="dxa" w:w="80"/>
              <w:right w:type="dxa" w:w="110"/>
            </w:tcMar>
          </w:tcPr>
          <w:p>
            <w:pPr>
              <w:spacing w:after="0" w:line="260"/>
            </w:pPr>
            <w:r>
              <w:rPr>
                <w:sz w:val="19"/>
                <w:szCs w:val="19"/>
              </w:rPr>
              <w:t xml:space="preserve">16–17</w:t>
            </w:r>
          </w:p>
        </w:tc>
        <w:tc>
          <w:tcPr>
            <w:tcW w:type="dxa" w:w="2200"/>
            <w:tcMar>
              <w:top w:type="dxa" w:w="80"/>
              <w:left w:type="dxa" w:w="110"/>
              <w:bottom w:type="dxa" w:w="80"/>
              <w:right w:type="dxa" w:w="110"/>
            </w:tcMar>
          </w:tcPr>
          <w:p>
            <w:pPr>
              <w:spacing w:after="0" w:line="260"/>
            </w:pPr>
            <w:r>
              <w:rPr>
                <w:sz w:val="19"/>
                <w:szCs w:val="19"/>
              </w:rPr>
              <w:t xml:space="preserve">13–15</w:t>
            </w:r>
          </w:p>
        </w:tc>
        <w:tc>
          <w:tcPr>
            <w:tcW w:type="dxa" w:w="1200"/>
            <w:tcMar>
              <w:top w:type="dxa" w:w="80"/>
              <w:left w:type="dxa" w:w="110"/>
              <w:bottom w:type="dxa" w:w="80"/>
              <w:right w:type="dxa" w:w="110"/>
            </w:tcMar>
          </w:tcPr>
          <w:p>
            <w:pPr>
              <w:spacing w:after="0" w:line="260"/>
            </w:pPr>
            <w:r>
              <w:rPr>
                <w:sz w:val="19"/>
                <w:szCs w:val="19"/>
              </w:rPr>
              <w:t xml:space="preserve">1 → 2</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grant_type</w:t>
            </w:r>
          </w:p>
        </w:tc>
        <w:tc>
          <w:tcPr>
            <w:tcW w:type="dxa" w:w="2200"/>
            <w:shd w:fill="F7F9FB" w:val="clear"/>
            <w:tcMar>
              <w:top w:type="dxa" w:w="80"/>
              <w:left w:type="dxa" w:w="110"/>
              <w:bottom w:type="dxa" w:w="80"/>
              <w:right w:type="dxa" w:w="110"/>
            </w:tcMar>
          </w:tcPr>
          <w:p>
            <w:pPr>
              <w:spacing w:after="0" w:line="260"/>
            </w:pPr>
            <w:r>
              <w:rPr>
                <w:sz w:val="19"/>
                <w:szCs w:val="19"/>
              </w:rPr>
              <w:t xml:space="preserve">16–23</w:t>
            </w:r>
          </w:p>
        </w:tc>
        <w:tc>
          <w:tcPr>
            <w:tcW w:type="dxa" w:w="2200"/>
            <w:shd w:fill="F7F9FB" w:val="clear"/>
            <w:tcMar>
              <w:top w:type="dxa" w:w="80"/>
              <w:left w:type="dxa" w:w="110"/>
              <w:bottom w:type="dxa" w:w="80"/>
              <w:right w:type="dxa" w:w="110"/>
            </w:tcMar>
          </w:tcPr>
          <w:p>
            <w:pPr>
              <w:spacing w:after="0" w:line="260"/>
            </w:pPr>
            <w:r>
              <w:rPr>
                <w:sz w:val="19"/>
                <w:szCs w:val="19"/>
              </w:rPr>
              <w:t xml:space="preserve">18–21</w:t>
            </w:r>
          </w:p>
        </w:tc>
        <w:tc>
          <w:tcPr>
            <w:tcW w:type="dxa" w:w="1200"/>
            <w:shd w:fill="F7F9FB" w:val="clear"/>
            <w:tcMar>
              <w:top w:type="dxa" w:w="80"/>
              <w:left w:type="dxa" w:w="110"/>
              <w:bottom w:type="dxa" w:w="80"/>
              <w:right w:type="dxa" w:w="110"/>
            </w:tcMar>
          </w:tcPr>
          <w:p>
            <w:pPr>
              <w:spacing w:after="0" w:line="260"/>
            </w:pPr>
            <w:r>
              <w:rPr>
                <w:sz w:val="19"/>
                <w:szCs w:val="19"/>
              </w:rPr>
              <w:t xml:space="preserve">7 → 3</w:t>
            </w:r>
          </w:p>
        </w:tc>
      </w:tr>
      <w:tr>
        <w:trPr>
          <w:cantSplit/>
        </w:trPr>
        <w:tc>
          <w:tcPr>
            <w:tcW w:type="dxa" w:w="2600"/>
            <w:tcMar>
              <w:top w:type="dxa" w:w="80"/>
              <w:left w:type="dxa" w:w="110"/>
              <w:bottom w:type="dxa" w:w="80"/>
              <w:right w:type="dxa" w:w="110"/>
            </w:tcMar>
          </w:tcPr>
          <w:p>
            <w:pPr>
              <w:spacing w:after="0" w:line="260"/>
            </w:pPr>
            <w:r>
              <w:rPr>
                <w:sz w:val="19"/>
                <w:szCs w:val="19"/>
              </w:rPr>
              <w:t xml:space="preserve">error_code</w:t>
            </w:r>
          </w:p>
        </w:tc>
        <w:tc>
          <w:tcPr>
            <w:tcW w:type="dxa" w:w="2200"/>
            <w:tcMar>
              <w:top w:type="dxa" w:w="80"/>
              <w:left w:type="dxa" w:w="110"/>
              <w:bottom w:type="dxa" w:w="80"/>
              <w:right w:type="dxa" w:w="110"/>
            </w:tcMar>
          </w:tcPr>
          <w:p>
            <w:pPr>
              <w:spacing w:after="0" w:line="260"/>
            </w:pPr>
            <w:r>
              <w:rPr>
                <w:sz w:val="19"/>
                <w:szCs w:val="19"/>
              </w:rPr>
              <w:t xml:space="preserve">15–17</w:t>
            </w:r>
          </w:p>
        </w:tc>
        <w:tc>
          <w:tcPr>
            <w:tcW w:type="dxa" w:w="2200"/>
            <w:tcMar>
              <w:top w:type="dxa" w:w="80"/>
              <w:left w:type="dxa" w:w="110"/>
              <w:bottom w:type="dxa" w:w="80"/>
              <w:right w:type="dxa" w:w="110"/>
            </w:tcMar>
          </w:tcPr>
          <w:p>
            <w:pPr>
              <w:spacing w:after="0" w:line="260"/>
            </w:pPr>
            <w:r>
              <w:rPr>
                <w:sz w:val="19"/>
                <w:szCs w:val="19"/>
              </w:rPr>
              <w:t xml:space="preserve">13–14</w:t>
            </w:r>
          </w:p>
        </w:tc>
        <w:tc>
          <w:tcPr>
            <w:tcW w:type="dxa" w:w="1200"/>
            <w:tcMar>
              <w:top w:type="dxa" w:w="80"/>
              <w:left w:type="dxa" w:w="110"/>
              <w:bottom w:type="dxa" w:w="80"/>
              <w:right w:type="dxa" w:w="110"/>
            </w:tcMar>
          </w:tcPr>
          <w:p>
            <w:pPr>
              <w:spacing w:after="0" w:line="260"/>
            </w:pPr>
            <w:r>
              <w:rPr>
                <w:sz w:val="19"/>
                <w:szCs w:val="19"/>
              </w:rPr>
              <w:t xml:space="preserve">2 → 1</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token</w:t>
            </w:r>
          </w:p>
        </w:tc>
        <w:tc>
          <w:tcPr>
            <w:tcW w:type="dxa" w:w="2200"/>
            <w:shd w:fill="F7F9FB" w:val="clear"/>
            <w:tcMar>
              <w:top w:type="dxa" w:w="80"/>
              <w:left w:type="dxa" w:w="110"/>
              <w:bottom w:type="dxa" w:w="80"/>
              <w:right w:type="dxa" w:w="110"/>
            </w:tcMar>
          </w:tcPr>
          <w:p>
            <w:pPr>
              <w:spacing w:after="0" w:line="260"/>
            </w:pPr>
            <w:r>
              <w:rPr>
                <w:sz w:val="19"/>
                <w:szCs w:val="19"/>
              </w:rPr>
              <w:t xml:space="preserve">6–10</w:t>
            </w:r>
          </w:p>
        </w:tc>
        <w:tc>
          <w:tcPr>
            <w:tcW w:type="dxa" w:w="2200"/>
            <w:shd w:fill="F7F9FB" w:val="clear"/>
            <w:tcMar>
              <w:top w:type="dxa" w:w="80"/>
              <w:left w:type="dxa" w:w="110"/>
              <w:bottom w:type="dxa" w:w="80"/>
              <w:right w:type="dxa" w:w="110"/>
            </w:tcMar>
          </w:tcPr>
          <w:p>
            <w:pPr>
              <w:spacing w:after="0" w:line="260"/>
            </w:pPr>
            <w:r>
              <w:rPr>
                <w:sz w:val="19"/>
                <w:szCs w:val="19"/>
              </w:rPr>
              <w:t xml:space="preserve">6–12</w:t>
            </w:r>
          </w:p>
        </w:tc>
        <w:tc>
          <w:tcPr>
            <w:tcW w:type="dxa" w:w="1200"/>
            <w:shd w:fill="F7F9FB" w:val="clear"/>
            <w:tcMar>
              <w:top w:type="dxa" w:w="80"/>
              <w:left w:type="dxa" w:w="110"/>
              <w:bottom w:type="dxa" w:w="80"/>
              <w:right w:type="dxa" w:w="110"/>
            </w:tcMar>
          </w:tcPr>
          <w:p>
            <w:pPr>
              <w:spacing w:after="0" w:line="260"/>
            </w:pPr>
            <w:r>
              <w:rPr>
                <w:sz w:val="19"/>
                <w:szCs w:val="19"/>
              </w:rPr>
              <w:t xml:space="preserve">4 → 6</w:t>
            </w:r>
          </w:p>
        </w:tc>
      </w:tr>
      <w:tr>
        <w:trPr>
          <w:cantSplit/>
        </w:trPr>
        <w:tc>
          <w:tcPr>
            <w:tcW w:type="dxa" w:w="2600"/>
            <w:tcMar>
              <w:top w:type="dxa" w:w="80"/>
              <w:left w:type="dxa" w:w="110"/>
              <w:bottom w:type="dxa" w:w="80"/>
              <w:right w:type="dxa" w:w="110"/>
            </w:tcMar>
          </w:tcPr>
          <w:p>
            <w:pPr>
              <w:spacing w:after="0" w:line="260"/>
            </w:pPr>
            <w:r>
              <w:rPr>
                <w:sz w:val="19"/>
                <w:szCs w:val="19"/>
              </w:rPr>
              <w:t xml:space="preserve">parameter</w:t>
            </w:r>
          </w:p>
        </w:tc>
        <w:tc>
          <w:tcPr>
            <w:tcW w:type="dxa" w:w="2200"/>
            <w:tcMar>
              <w:top w:type="dxa" w:w="80"/>
              <w:left w:type="dxa" w:w="110"/>
              <w:bottom w:type="dxa" w:w="80"/>
              <w:right w:type="dxa" w:w="110"/>
            </w:tcMar>
          </w:tcPr>
          <w:p>
            <w:pPr>
              <w:spacing w:after="0" w:line="260"/>
            </w:pPr>
            <w:r>
              <w:rPr>
                <w:sz w:val="19"/>
                <w:szCs w:val="19"/>
              </w:rPr>
              <w:t xml:space="preserve">25–32</w:t>
            </w:r>
          </w:p>
        </w:tc>
        <w:tc>
          <w:tcPr>
            <w:tcW w:type="dxa" w:w="2200"/>
            <w:tcMar>
              <w:top w:type="dxa" w:w="80"/>
              <w:left w:type="dxa" w:w="110"/>
              <w:bottom w:type="dxa" w:w="80"/>
              <w:right w:type="dxa" w:w="110"/>
            </w:tcMar>
          </w:tcPr>
          <w:p>
            <w:pPr>
              <w:spacing w:after="0" w:line="260"/>
            </w:pPr>
            <w:r>
              <w:rPr>
                <w:sz w:val="19"/>
                <w:szCs w:val="19"/>
              </w:rPr>
              <w:t xml:space="preserve">25–31</w:t>
            </w:r>
          </w:p>
        </w:tc>
        <w:tc>
          <w:tcPr>
            <w:tcW w:type="dxa" w:w="1200"/>
            <w:tcMar>
              <w:top w:type="dxa" w:w="80"/>
              <w:left w:type="dxa" w:w="110"/>
              <w:bottom w:type="dxa" w:w="80"/>
              <w:right w:type="dxa" w:w="110"/>
            </w:tcMar>
          </w:tcPr>
          <w:p>
            <w:pPr>
              <w:spacing w:after="0" w:line="260"/>
            </w:pPr>
            <w:r>
              <w:rPr>
                <w:sz w:val="19"/>
                <w:szCs w:val="19"/>
              </w:rPr>
              <w:t xml:space="preserve">7 → 6</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http_response</w:t>
            </w:r>
          </w:p>
        </w:tc>
        <w:tc>
          <w:tcPr>
            <w:tcW w:type="dxa" w:w="2200"/>
            <w:shd w:fill="F7F9FB" w:val="clear"/>
            <w:tcMar>
              <w:top w:type="dxa" w:w="80"/>
              <w:left w:type="dxa" w:w="110"/>
              <w:bottom w:type="dxa" w:w="80"/>
              <w:right w:type="dxa" w:w="110"/>
            </w:tcMar>
          </w:tcPr>
          <w:p>
            <w:pPr>
              <w:spacing w:after="0" w:line="260"/>
            </w:pPr>
            <w:r>
              <w:rPr>
                <w:sz w:val="19"/>
                <w:szCs w:val="19"/>
              </w:rPr>
              <w:t xml:space="preserve">14–20</w:t>
            </w:r>
          </w:p>
        </w:tc>
        <w:tc>
          <w:tcPr>
            <w:tcW w:type="dxa" w:w="2200"/>
            <w:shd w:fill="F7F9FB" w:val="clear"/>
            <w:tcMar>
              <w:top w:type="dxa" w:w="80"/>
              <w:left w:type="dxa" w:w="110"/>
              <w:bottom w:type="dxa" w:w="80"/>
              <w:right w:type="dxa" w:w="110"/>
            </w:tcMar>
          </w:tcPr>
          <w:p>
            <w:pPr>
              <w:spacing w:after="0" w:line="260"/>
            </w:pPr>
            <w:r>
              <w:rPr>
                <w:sz w:val="19"/>
                <w:szCs w:val="19"/>
              </w:rPr>
              <w:t xml:space="preserve">16–18</w:t>
            </w:r>
          </w:p>
        </w:tc>
        <w:tc>
          <w:tcPr>
            <w:tcW w:type="dxa" w:w="1200"/>
            <w:shd w:fill="F7F9FB" w:val="clear"/>
            <w:tcMar>
              <w:top w:type="dxa" w:w="80"/>
              <w:left w:type="dxa" w:w="110"/>
              <w:bottom w:type="dxa" w:w="80"/>
              <w:right w:type="dxa" w:w="110"/>
            </w:tcMar>
          </w:tcPr>
          <w:p>
            <w:pPr>
              <w:spacing w:after="0" w:line="260"/>
            </w:pPr>
            <w:r>
              <w:rPr>
                <w:sz w:val="19"/>
                <w:szCs w:val="19"/>
              </w:rPr>
              <w:t xml:space="preserve">6 → 2</w:t>
            </w:r>
          </w:p>
        </w:tc>
      </w:tr>
    </w:tbl>
    <w:p>
      <w:pPr>
        <w:spacing w:after="160"/>
      </w:pPr>
    </w:p>
    <w:p>
      <w:pPr>
        <w:spacing w:after="140" w:line="300"/>
      </w:pPr>
      <w:r>
        <w:rPr>
          <w:b/>
          <w:bCs/>
          <w:sz w:val="21"/>
          <w:szCs w:val="21"/>
        </w:rPr>
        <w:t xml:space="preserve">The sum of every concept's spread fell from 27 to 20 — a real, roughly 26% reduction — but this is a partial fix, not a solved problem.</w:t>
      </w:r>
      <w:r>
        <w:rPr>
          <w:sz w:val="21"/>
          <w:szCs w:val="21"/>
        </w:rPr>
        <w:t xml:space="preserve"> http_response and grant_type tightened substantially; error_code and parameter improved modestly; role's spread actually widened by one, and token's got worse, from 4 to 6. Zero of the six concepts were perfectly stable in either condition. A smaller, three-chunk test on the trial protocol document told the same story at a smaller scale: temperature genuinely stabilised one already-flagged concept (treatment_regimen: 3,1,1 → 3,3,3) while a previously stable one (safety_monitoring) went unstable in the same run — net zero-spread count unchanged, 6 of 8 either way. Temperature is one real, cheap lever. It is not the dominant source of the instability this project has repeatedly measured; batching still gives each ten-chunk window less attention than a focused read, and that is untouched by a sampling parameter.</w:t>
      </w:r>
    </w:p>
    <w:p>
      <w:pPr>
        <w:pStyle w:val="Heading2"/>
        <w:spacing w:after="120" w:before="260"/>
      </w:pPr>
      <w:r>
        <w:rPr>
          <w:b/>
          <w:bCs/>
          <w:color w:val="2E2E2E"/>
          <w:sz w:val="24"/>
          <w:szCs w:val="24"/>
        </w:rPr>
        <w:t xml:space="preserve">Explicit steps, borrowed from G-Eval's own methodology</w:t>
      </w:r>
    </w:p>
    <w:p>
      <w:pPr>
        <w:spacing w:after="140" w:line="300"/>
      </w:pPr>
      <w:r>
        <w:rPr>
          <w:sz w:val="21"/>
          <w:szCs w:val="21"/>
        </w:rPr>
        <w:t xml:space="preserve">DeepEval's documentation states plainly that supplying an LLM judge with explicit evaluation_steps, rather than letting it interpret free-form criteria itself, reduces variability in how those criteria get applied. entailment.py's own judge prompt already does this — an ordered, numbered four-test procedure the model works through in sequence — so nothing there needed changing. The census enumeration prompt did not: "list every distinct instance" was a single, holistic ask with no procedure behind it. Rewritten to walk an explicit numbered sequence instead — find the next instance, check it is not a restatement of one already listed in this same response, record its chunk, and do not pass over a concept without deciding on it explicitly — on the theory that decomposing the ask, independent of the temperature change above, tightens interpretation the same way it does for a scored judgment.</w:t>
      </w:r>
    </w:p>
    <w:p>
      <w:pPr>
        <w:pStyle w:val="Heading2"/>
        <w:spacing w:after="120" w:before="260"/>
      </w:pPr>
      <w:r>
        <w:rPr>
          <w:b/>
          <w:bCs/>
          <w:color w:val="2E2E2E"/>
          <w:sz w:val="24"/>
          <w:szCs w:val="24"/>
        </w:rPr>
        <w:t xml:space="preserve">A configuration that already existed, made reachable</w:t>
      </w:r>
    </w:p>
    <w:p>
      <w:pPr>
        <w:spacing w:after="140" w:line="300"/>
      </w:pPr>
      <w:r>
        <w:rPr>
          <w:sz w:val="21"/>
          <w:szCs w:val="21"/>
        </w:rPr>
        <w:t xml:space="preserve">census_batch — how many chunks the census reads per call — turned out to already be resolvable through a database-backed settings registry this project inherited: versioned, provides its own provenance, resolves database-then-built-in-default the same way every other tunable in the codebase does. What was missing was plumbing, not a new mechanism: this project's own gap report and pipeline code never passed a database session down to the census call that reads it, so the override path was dead code from this project's side alone. Wired through and verified live — setting census_batch to 2 via the registry changed a real run's completeness-phase call count from 4 to 8, exactly as a smaller batch size predicts. Deliberately not exposed as an environment variable as well: the registry's whole discipline is database, then built-in default, and nothing else, specifically so a run can always explain what setting it used and where that setting came from — a third, unrecorded source would undermine the reason the registry exists.</w:t>
      </w:r>
    </w:p>
    <w:p>
      <w:pPr>
        <w:pStyle w:val="Heading2"/>
        <w:spacing w:after="120" w:before="260"/>
      </w:pPr>
      <w:r>
        <w:rPr>
          <w:b/>
          <w:bCs/>
          <w:color w:val="2E2E2E"/>
          <w:sz w:val="24"/>
          <w:szCs w:val="24"/>
        </w:rPr>
        <w:t xml:space="preserve">The batch-size question, answered — and inverted</w:t>
      </w:r>
    </w:p>
    <w:p>
      <w:pPr>
        <w:spacing w:after="140" w:line="300"/>
      </w:pPr>
      <w:r>
        <w:rPr>
          <w:sz w:val="21"/>
          <w:szCs w:val="21"/>
        </w:rPr>
        <w:t xml:space="preserve">Making census_batch reachable existed to answer one question: does a smaller batch, independent of temperature, close more of the instability temperature alone left open? Getting a clean answer took four attempts, three of which failed for reasons that turned out to matter as much as the answer itself.</w:t>
      </w:r>
    </w:p>
    <w:p>
      <w:pPr>
        <w:pStyle w:val="ListParagraph"/>
        <w:numPr>
          <w:ilvl w:val="0"/>
          <w:numId w:val="2"/>
        </w:numPr>
        <w:spacing w:after="90" w:line="300"/>
      </w:pPr>
      <w:r>
        <w:rPr>
          <w:sz w:val="21"/>
          <w:szCs w:val="21"/>
        </w:rPr>
        <w:t xml:space="preserve">gpt-oss:120b-cloud — the model every other real run in this paper used — returned a sustained 429 on a single, completely isolated call, with nothing else running. Ollama Cloud does not publish per-minute rate limits; it meters GPU-time usage on 5-hour session and 7-day weekly cycles, and the account's quota for this model was simply exhausted by this project's own cumulative use.</w:t>
      </w:r>
    </w:p>
    <w:p>
      <w:pPr>
        <w:pStyle w:val="ListParagraph"/>
        <w:numPr>
          <w:ilvl w:val="0"/>
          <w:numId w:val="2"/>
        </w:numPr>
        <w:spacing w:after="90" w:line="300"/>
      </w:pPr>
      <w:r>
        <w:rPr>
          <w:sz w:val="21"/>
          <w:szCs w:val="21"/>
        </w:rPr>
        <w:t xml:space="preserve">A local 1B model (llama3.2:1b, pulled specifically to be fast) and the already-available 3B model (llama3.2:latest) both hit the identical failure on the identical document: repeated 600-second timeouts at batch_size=10, regardless of parameter count. A follow-up timing test isolated why — batch_size=2 took 5.2 seconds, batch_size=5 took 12.8 seconds (a clean, linear ~2.6s/chunk), and batch_size=10 blew straight through the 600-second ceiling. Not a gradual slowdown; a cliff. Scoping the experiment down to fit inside that cliff (a 46-chunk strided subset, batch_size=2) still hit intermittent timeouts under sustained sequential load, meaning the clean cliff measured from isolated single calls did not hold once the same size was asked to run repeatedly — a local-inference reliability property of this specific machine, not a property of batch size that generalises.</w:t>
      </w:r>
    </w:p>
    <w:p>
      <w:pPr>
        <w:pStyle w:val="ListParagraph"/>
        <w:numPr>
          <w:ilvl w:val="0"/>
          <w:numId w:val="2"/>
        </w:numPr>
        <w:spacing w:after="90" w:line="300"/>
      </w:pPr>
      <w:r>
        <w:rPr>
          <w:sz w:val="21"/>
          <w:szCs w:val="21"/>
        </w:rPr>
        <w:t xml:space="preserve">Switching to Anthropic's cheap tier (claude-haiku-4-5) surfaced a real, previously-latent defect rather than a rate limit: the installed anthropic SDK (1.0.0+) has removed temperature from Messages.create() entirely, and every one of census.py's calls (it pins one, to cut sampling variance — see above) failed instantly with "unexpected keyword argument 'temperature'", before ever reaching the network. This had been latent since temperature support was added earlier in this same investigation: every real Anthropic call in this project until now went through paths that never pass temperature (the majority-vote judge, escalation), so nothing had exercised this specific combination against the real SDK — only stub clients in unit tests, which do not reject an unsupported keyword the way the real one does. Introspecting the installed SDK directly (rather than guessing) found no direct replacement — Claude 5's determinism control is output_config.effort, not temperature — so generate() now drops the parameter before the real call when the SDK can't take it, logging a warning once per process rather than silently running at an unrequested default with no trace anything was asked for and dropped.</w:t>
      </w:r>
    </w:p>
    <w:p>
      <w:pPr>
        <w:spacing w:after="140" w:line="300"/>
      </w:pPr>
      <w:r>
        <w:rPr>
          <w:sz w:val="21"/>
          <w:szCs w:val="21"/>
        </w:rPr>
        <w:t xml:space="preserve">With that fixed, the fourth attempt ran cleanly end to end: 240 calls, every run complete, no failures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
            </w:r>
          </w:p>
        </w:tc>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batch_size=10</w:t>
            </w:r>
          </w:p>
        </w:tc>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batch_size=3</w:t>
            </w:r>
          </w:p>
        </w:tc>
      </w:tr>
      <w:tr>
        <w:trPr>
          <w:cantSplit/>
        </w:trPr>
        <w:tc>
          <w:tcPr>
            <w:tcW w:type="dxa" w:w="2600"/>
            <w:tcMar>
              <w:top w:type="dxa" w:w="80"/>
              <w:left w:type="dxa" w:w="110"/>
              <w:bottom w:type="dxa" w:w="80"/>
              <w:right w:type="dxa" w:w="110"/>
            </w:tcMar>
          </w:tcPr>
          <w:p>
            <w:pPr>
              <w:spacing w:after="0" w:line="260"/>
            </w:pPr>
            <w:r>
              <w:rPr>
                <w:sz w:val="19"/>
                <w:szCs w:val="19"/>
              </w:rPr>
              <w:t xml:space="preserve">Sum of (high−low), 6 concepts</w:t>
            </w:r>
          </w:p>
        </w:tc>
        <w:tc>
          <w:tcPr>
            <w:tcW w:type="dxa" w:w="2400"/>
            <w:tcMar>
              <w:top w:type="dxa" w:w="80"/>
              <w:left w:type="dxa" w:w="110"/>
              <w:bottom w:type="dxa" w:w="80"/>
              <w:right w:type="dxa" w:w="110"/>
            </w:tcMar>
          </w:tcPr>
          <w:p>
            <w:pPr>
              <w:spacing w:after="0" w:line="260"/>
            </w:pPr>
            <w:r>
              <w:rPr>
                <w:sz w:val="19"/>
                <w:szCs w:val="19"/>
              </w:rPr>
              <w:t xml:space="preserve">24</w:t>
            </w:r>
          </w:p>
        </w:tc>
        <w:tc>
          <w:tcPr>
            <w:tcW w:type="dxa" w:w="2400"/>
            <w:tcMar>
              <w:top w:type="dxa" w:w="80"/>
              <w:left w:type="dxa" w:w="110"/>
              <w:bottom w:type="dxa" w:w="80"/>
              <w:right w:type="dxa" w:w="110"/>
            </w:tcMar>
          </w:tcPr>
          <w:p>
            <w:pPr>
              <w:spacing w:after="0" w:line="260"/>
            </w:pPr>
            <w:r>
              <w:rPr>
                <w:sz w:val="19"/>
                <w:szCs w:val="19"/>
              </w:rPr>
              <w:t xml:space="preserve">34</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Concepts with zero spread</w:t>
            </w:r>
          </w:p>
        </w:tc>
        <w:tc>
          <w:tcPr>
            <w:tcW w:type="dxa" w:w="2400"/>
            <w:shd w:fill="F7F9FB" w:val="clear"/>
            <w:tcMar>
              <w:top w:type="dxa" w:w="80"/>
              <w:left w:type="dxa" w:w="110"/>
              <w:bottom w:type="dxa" w:w="80"/>
              <w:right w:type="dxa" w:w="110"/>
            </w:tcMar>
          </w:tcPr>
          <w:p>
            <w:pPr>
              <w:spacing w:after="0" w:line="260"/>
            </w:pPr>
            <w:r>
              <w:rPr>
                <w:sz w:val="19"/>
                <w:szCs w:val="19"/>
              </w:rPr>
              <w:t xml:space="preserve">0/6</w:t>
            </w:r>
          </w:p>
        </w:tc>
        <w:tc>
          <w:tcPr>
            <w:tcW w:type="dxa" w:w="2400"/>
            <w:shd w:fill="F7F9FB" w:val="clear"/>
            <w:tcMar>
              <w:top w:type="dxa" w:w="80"/>
              <w:left w:type="dxa" w:w="110"/>
              <w:bottom w:type="dxa" w:w="80"/>
              <w:right w:type="dxa" w:w="110"/>
            </w:tcMar>
          </w:tcPr>
          <w:p>
            <w:pPr>
              <w:spacing w:after="0" w:line="260"/>
            </w:pPr>
            <w:r>
              <w:rPr>
                <w:sz w:val="19"/>
                <w:szCs w:val="19"/>
              </w:rPr>
              <w:t xml:space="preserve">1/6</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The smaller batch made the total spread worse, not better — the opposite of the hypothesis this whole investigation was built to test.</w:t>
      </w:r>
      <w:r>
        <w:rPr>
          <w:sz w:val="21"/>
          <w:szCs w:val="21"/>
        </w:rPr>
        <w:t xml:space="preserve"> But the per-concept counts explain why rather than leaving it a mystery: absolute counts rose substantially at batch_size=3 across almost every concept — parameter went from 43–50 to 70–85, http_response from 18–22 to a rock-solid 39 in all three runs. The smaller batch is finding real instances the larger one was missing — the recall improvement the original theory actually predicted — but that additional recall is not landing consistently run to run, so a wider absolute spread partly reflects a more complete picture measured less reliably, not pure added noise. One concept (http_response) went from unstable to perfectly stable at the smaller size; this is not a uniform tradeoff, it is concept-dependent, the same pattern every instability finding in this paper keeps reproducing.</w:t>
      </w:r>
    </w:p>
    <w:p>
      <w:pPr>
        <w:spacing w:after="140" w:line="300"/>
      </w:pPr>
      <w:r>
        <w:rPr>
          <w:sz w:val="21"/>
          <w:szCs w:val="21"/>
        </w:rPr>
        <w:t xml:space="preserve">Not directly comparable to the gpt-oss:120b-cloud temperature numbers above — a different model entirely, deliberately not mixed into the same comparison. Actual cost: 240 calls, 363,210 input tokens, 86,334 output tokens, about $0.80 at haiku-4-5 pricing — roughly double a pre-run estimate built from real chunk-size data, the shortfall entirely in output tokens, which came in 7–10× higher than guessed. The most likely explanation is the same one the result itself demonstrates: this model found substantially more instances than assumed, and listing more instances costs more output tokens.</w:t>
      </w:r>
    </w:p>
    <w:p>
      <w:pPr>
        <w:pStyle w:val="Heading1"/>
        <w:pBdr>
          <w:bottom w:val="single" w:color="C8C8C8" w:sz="6" w:space="6"/>
        </w:pBdr>
        <w:spacing w:after="160" w:before="380"/>
      </w:pPr>
      <w:r>
        <w:rPr>
          <w:b/>
          <w:bCs/>
          <w:color w:val="1F4E79"/>
          <w:sz w:val="30"/>
          <w:szCs w:val="30"/>
        </w:rPr>
        <w:t xml:space="preserve">Where this differs from DeepEval and G-Eval, on purpose</w:t>
      </w:r>
    </w:p>
    <w:p>
      <w:pPr>
        <w:spacing w:after="140" w:line="300"/>
      </w:pPr>
      <w:r>
        <w:rPr>
          <w:sz w:val="21"/>
          <w:szCs w:val="21"/>
        </w:rPr>
        <w:t xml:space="preserve">DeepEval is the most widely used LLM evaluation framework, and G-Eval — one call, an explicit decomposed rubric, a score built from the model's own token probabilities rather than one sampled number — is its central technique. Worth stating plainly where this project's own approach actually differs, rather than assuming either one is simply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Job</w:t>
            </w:r>
          </w:p>
        </w:tc>
        <w:tc>
          <w:tcPr>
            <w:tcW w:type="dxa" w:w="6460"/>
            <w:shd w:fill="1F4E79" w:val="clear"/>
            <w:tcMar>
              <w:top w:type="dxa" w:w="80"/>
              <w:left w:type="dxa" w:w="110"/>
              <w:bottom w:type="dxa" w:w="80"/>
              <w:right w:type="dxa" w:w="110"/>
            </w:tcMar>
          </w:tcPr>
          <w:p>
            <w:pPr>
              <w:spacing w:after="0" w:line="260"/>
            </w:pPr>
            <w:r>
              <w:rPr>
                <w:b/>
                <w:bCs/>
                <w:color w:val="FFFFFF"/>
                <w:sz w:val="19"/>
                <w:szCs w:val="19"/>
              </w:rPr>
              <w:t xml:space="preserve">Better fit</w:t>
            </w:r>
          </w:p>
        </w:tc>
      </w:tr>
      <w:tr>
        <w:trPr>
          <w:cantSplit/>
        </w:trPr>
        <w:tc>
          <w:tcPr>
            <w:tcW w:type="dxa" w:w="2900"/>
            <w:tcMar>
              <w:top w:type="dxa" w:w="80"/>
              <w:left w:type="dxa" w:w="110"/>
              <w:bottom w:type="dxa" w:w="80"/>
              <w:right w:type="dxa" w:w="110"/>
            </w:tcMar>
          </w:tcPr>
          <w:p>
            <w:pPr>
              <w:spacing w:after="0" w:line="260"/>
            </w:pPr>
            <w:r>
              <w:rPr>
                <w:sz w:val="19"/>
                <w:szCs w:val="19"/>
              </w:rPr>
              <w:t xml:space="preserve">Regression-test a RAG pipeline's output against a golden answer, in CI</w:t>
            </w:r>
          </w:p>
        </w:tc>
        <w:tc>
          <w:tcPr>
            <w:tcW w:type="dxa" w:w="6460"/>
            <w:tcMar>
              <w:top w:type="dxa" w:w="80"/>
              <w:left w:type="dxa" w:w="110"/>
              <w:bottom w:type="dxa" w:w="80"/>
              <w:right w:type="dxa" w:w="110"/>
            </w:tcMar>
          </w:tcPr>
          <w:p>
            <w:pPr>
              <w:spacing w:after="0" w:line="260"/>
            </w:pPr>
            <w:r>
              <w:rPr>
                <w:sz w:val="19"/>
                <w:szCs w:val="19"/>
              </w:rPr>
              <w:t xml:space="preserve">DeepEval / G-Eval — the reference already exists; one call is cheaper than three</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Check faithfulness of a generated answer to its own retrieved context</w:t>
            </w:r>
          </w:p>
        </w:tc>
        <w:tc>
          <w:tcPr>
            <w:tcW w:type="dxa" w:w="6460"/>
            <w:shd w:fill="F7F9FB" w:val="clear"/>
            <w:tcMar>
              <w:top w:type="dxa" w:w="80"/>
              <w:left w:type="dxa" w:w="110"/>
              <w:bottom w:type="dxa" w:w="80"/>
              <w:right w:type="dxa" w:w="110"/>
            </w:tcMar>
          </w:tcPr>
          <w:p>
            <w:pPr>
              <w:spacing w:after="0" w:line="260"/>
            </w:pPr>
            <w:r>
              <w:rPr>
                <w:sz w:val="19"/>
                <w:szCs w:val="19"/>
              </w:rPr>
              <w:t xml:space="preserve">DeepEval — Faithfulness is built for exactly this</w:t>
            </w:r>
          </w:p>
        </w:tc>
      </w:tr>
      <w:tr>
        <w:trPr>
          <w:cantSplit/>
        </w:trPr>
        <w:tc>
          <w:tcPr>
            <w:tcW w:type="dxa" w:w="2900"/>
            <w:tcMar>
              <w:top w:type="dxa" w:w="80"/>
              <w:left w:type="dxa" w:w="110"/>
              <w:bottom w:type="dxa" w:w="80"/>
              <w:right w:type="dxa" w:w="110"/>
            </w:tcMar>
          </w:tcPr>
          <w:p>
            <w:pPr>
              <w:spacing w:after="0" w:line="260"/>
            </w:pPr>
            <w:r>
              <w:rPr>
                <w:sz w:val="19"/>
                <w:szCs w:val="19"/>
              </w:rPr>
              <w:t xml:space="preserve">Validate an externally authored claim list against a source document, with no expected_output supplied</w:t>
            </w:r>
          </w:p>
        </w:tc>
        <w:tc>
          <w:tcPr>
            <w:tcW w:type="dxa" w:w="6460"/>
            <w:tcMar>
              <w:top w:type="dxa" w:w="80"/>
              <w:left w:type="dxa" w:w="110"/>
              <w:bottom w:type="dxa" w:w="80"/>
              <w:right w:type="dxa" w:w="110"/>
            </w:tcMar>
          </w:tcPr>
          <w:p>
            <w:pPr>
              <w:spacing w:after="0" w:line="260"/>
            </w:pPr>
            <w:r>
              <w:rPr>
                <w:sz w:val="19"/>
                <w:szCs w:val="19"/>
              </w:rPr>
              <w:t xml:space="preserve">This project — there is no reference to hand DeepEval; the judge has to read the document itself</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"What did these claims never address at all, even the correct ones?"</w:t>
            </w:r>
          </w:p>
        </w:tc>
        <w:tc>
          <w:tcPr>
            <w:tcW w:type="dxa" w:w="6460"/>
            <w:shd w:fill="F7F9FB" w:val="clear"/>
            <w:tcMar>
              <w:top w:type="dxa" w:w="80"/>
              <w:left w:type="dxa" w:w="110"/>
              <w:bottom w:type="dxa" w:w="80"/>
              <w:right w:type="dxa" w:w="110"/>
            </w:tcMar>
          </w:tcPr>
          <w:p>
            <w:pPr>
              <w:spacing w:after="0" w:line="260"/>
            </w:pPr>
            <w:r>
              <w:rPr>
                <w:sz w:val="19"/>
                <w:szCs w:val="19"/>
              </w:rPr>
              <w:t xml:space="preserve">This project, with no DeepEval equivalent — this requires independently measuring the document's own ground truth, not scoring an output against a reference someone already provided</w:t>
            </w:r>
          </w:p>
        </w:tc>
      </w:tr>
    </w:tbl>
    <w:p>
      <w:pPr>
        <w:spacing w:after="160"/>
      </w:pPr>
    </w:p>
    <w:p>
      <w:pPr>
        <w:spacing w:after="140" w:line="300"/>
      </w:pPr>
      <w:r>
        <w:rPr>
          <w:sz w:val="21"/>
          <w:szCs w:val="21"/>
        </w:rPr>
        <w:t xml:space="preserve">The structural reason is not that one tool is more capable than the other: DeepEval's metrics all score a generated output against something the caller already supplies — an expected_output, a retrieval_context. This project's job starts one step earlier. Nobody has said what is true; the entailment judge has to go read the actual document, and the census has to independently establish what the document itself contains, before either question can be answered at all. Neither is a job DeepEval's own metric set is built to do.</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One comparison ran the other way.</w:t>
      </w:r>
      <w:r>
        <w:rPr>
          <w:sz w:val="21"/>
          <w:szCs w:val="21"/>
        </w:rPr>
        <w:t xml:space="preserve"> DeepEval's own documentation describes no methodology for measuring its own metrics' run-to-run stability. census_repeated has reported an explicit range, with reproducible provenance, since before this comparison was made — more rigorous on that one specific axis than the dominant framework in this space, a fact this project only stated plainly once the comparison forced the question.</w:t>
      </w:r>
    </w:p>
    <w:p>
      <w:pPr>
        <w:pStyle w:val="Heading2"/>
        <w:spacing w:after="120" w:before="260"/>
      </w:pPr>
      <w:r>
        <w:rPr>
          <w:b/>
          <w:bCs/>
          <w:color w:val="2E2E2E"/>
          <w:sz w:val="24"/>
          <w:szCs w:val="24"/>
        </w:rPr>
        <w:t xml:space="preserve">Explaining a score, checked against what DeepEval actually documents</w:t>
      </w:r>
    </w:p>
    <w:p>
      <w:pPr>
        <w:spacing w:after="140" w:line="300"/>
      </w:pPr>
      <w:r>
        <w:rPr>
          <w:sz w:val="21"/>
          <w:szCs w:val="21"/>
        </w:rPr>
        <w:t xml:space="preserve">A direct question — does DeepEval or Confident AI have a function that explains the detailed reason behind a score, the way this project's report does — deserved checking against the documentation rather than assumed either way, since an earlier answer in this same investigation had understated what the paid platform actually offers.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shd w:fill="1F4E79" w:val="clear"/>
            <w:tcMar>
              <w:top w:type="dxa" w:w="80"/>
              <w:left w:type="dxa" w:w="110"/>
              <w:bottom w:type="dxa" w:w="80"/>
              <w:right w:type="dxa" w:w="110"/>
            </w:tcMar>
          </w:tcPr>
          <w:p>
            <w:pPr>
              <w:spacing w:after="0" w:line="260"/>
            </w:pPr>
            <w:r>
              <w:rPr>
                <w:b/>
                <w:bCs/>
                <w:color w:val="FFFFFF"/>
                <w:sz w:val="19"/>
                <w:szCs w:val="19"/>
              </w:rPr>
              <w:t xml:space="preserve">Question</w:t>
            </w:r>
          </w:p>
        </w:tc>
        <w:tc>
          <w:tcPr>
            <w:tcW w:type="dxa" w:w="6560"/>
            <w:shd w:fill="1F4E79" w:val="clear"/>
            <w:tcMar>
              <w:top w:type="dxa" w:w="80"/>
              <w:left w:type="dxa" w:w="110"/>
              <w:bottom w:type="dxa" w:w="80"/>
              <w:right w:type="dxa" w:w="110"/>
            </w:tcMar>
          </w:tcPr>
          <w:p>
            <w:pPr>
              <w:spacing w:after="0" w:line="260"/>
            </w:pPr>
            <w:r>
              <w:rPr>
                <w:b/>
                <w:bCs/>
                <w:color w:val="FFFFFF"/>
                <w:sz w:val="19"/>
                <w:szCs w:val="19"/>
              </w:rPr>
              <w:t xml:space="preserve">Answer, checked against the docs</w:t>
            </w:r>
          </w:p>
        </w:tc>
      </w:tr>
      <w:tr>
        <w:trPr>
          <w:cantSplit/>
        </w:trPr>
        <w:tc>
          <w:tcPr>
            <w:tcW w:type="dxa" w:w="2800"/>
            <w:tcMar>
              <w:top w:type="dxa" w:w="80"/>
              <w:left w:type="dxa" w:w="110"/>
              <w:bottom w:type="dxa" w:w="80"/>
              <w:right w:type="dxa" w:w="110"/>
            </w:tcMar>
          </w:tcPr>
          <w:p>
            <w:pPr>
              <w:spacing w:after="0" w:line="260"/>
            </w:pPr>
            <w:r>
              <w:rPr>
                <w:sz w:val="19"/>
                <w:szCs w:val="19"/>
              </w:rPr>
              <w:t xml:space="preserve">Does a metric explain why THIS score came out THIS way?</w:t>
            </w:r>
          </w:p>
        </w:tc>
        <w:tc>
          <w:tcPr>
            <w:tcW w:type="dxa" w:w="6560"/>
            <w:tcMar>
              <w:top w:type="dxa" w:w="80"/>
              <w:left w:type="dxa" w:w="110"/>
              <w:bottom w:type="dxa" w:w="80"/>
              <w:right w:type="dxa" w:w="110"/>
            </w:tcMar>
          </w:tcPr>
          <w:p>
            <w:pPr>
              <w:spacing w:after="0" w:line="260"/>
            </w:pPr>
            <w:r>
              <w:rPr>
                <w:sz w:val="19"/>
                <w:szCs w:val="19"/>
              </w:rPr>
              <w:t xml:space="preserve">Yes, in both. DeepEval's metric.reason is an LLM-generated explanation of that specific score on that specific test case — directly comparable to this project's per-claim reason field, which quotes the judge's actual answer.</w:t>
            </w:r>
          </w:p>
        </w:tc>
      </w:tr>
      <w:tr>
        <w:trPr>
          <w:cantSplit/>
        </w:trPr>
        <w:tc>
          <w:tcPr>
            <w:tcW w:type="dxa" w:w="2800"/>
            <w:shd w:fill="F7F9FB" w:val="clear"/>
            <w:tcMar>
              <w:top w:type="dxa" w:w="80"/>
              <w:left w:type="dxa" w:w="110"/>
              <w:bottom w:type="dxa" w:w="80"/>
              <w:right w:type="dxa" w:w="110"/>
            </w:tcMar>
          </w:tcPr>
          <w:p>
            <w:pPr>
              <w:spacing w:after="0" w:line="260"/>
            </w:pPr>
            <w:r>
              <w:rPr>
                <w:sz w:val="19"/>
                <w:szCs w:val="19"/>
              </w:rPr>
              <w:t xml:space="preserve">Can a reader trace which specific cases sit behind an aggregate number?</w:t>
            </w:r>
          </w:p>
        </w:tc>
        <w:tc>
          <w:tcPr>
            <w:tcW w:type="dxa" w:w="6560"/>
            <w:shd w:fill="F7F9FB" w:val="clear"/>
            <w:tcMar>
              <w:top w:type="dxa" w:w="80"/>
              <w:left w:type="dxa" w:w="110"/>
              <w:bottom w:type="dxa" w:w="80"/>
              <w:right w:type="dxa" w:w="110"/>
            </w:tcMar>
          </w:tcPr>
          <w:p>
            <w:pPr>
              <w:spacing w:after="0" w:line="260"/>
            </w:pPr>
            <w:r>
              <w:rPr>
                <w:sz w:val="19"/>
                <w:szCs w:val="19"/>
              </w:rPr>
              <w:t xml:space="preserve">Yes, in both — but only one of them requires a paid account. Confident AI's hosted dashboard lets a user filter and search individual test cases by score, reasoning and threshold, functionally comparable to the Claim IDs column, just a search interaction rather than a printed column beside the number. The capability exists only in Confident AI, not in the open-source deepeval library used standalone.</w:t>
            </w:r>
          </w:p>
        </w:tc>
      </w:tr>
      <w:tr>
        <w:trPr>
          <w:cantSplit/>
        </w:trPr>
        <w:tc>
          <w:tcPr>
            <w:tcW w:type="dxa" w:w="2800"/>
            <w:tcMar>
              <w:top w:type="dxa" w:w="80"/>
              <w:left w:type="dxa" w:w="110"/>
              <w:bottom w:type="dxa" w:w="80"/>
              <w:right w:type="dxa" w:w="110"/>
            </w:tcMar>
          </w:tcPr>
          <w:p>
            <w:pPr>
              <w:spacing w:after="0" w:line="260"/>
            </w:pPr>
            <w:r>
              <w:rPr>
                <w:sz w:val="19"/>
                <w:szCs w:val="19"/>
              </w:rPr>
              <w:t xml:space="preserve">Is there a standing explanation of what a metric MEANS, independent of any one run's numbers?</w:t>
            </w:r>
          </w:p>
        </w:tc>
        <w:tc>
          <w:tcPr>
            <w:tcW w:type="dxa" w:w="6560"/>
            <w:tcMar>
              <w:top w:type="dxa" w:w="80"/>
              <w:left w:type="dxa" w:w="110"/>
              <w:bottom w:type="dxa" w:w="80"/>
              <w:right w:type="dxa" w:w="110"/>
            </w:tcMar>
          </w:tcPr>
          <w:p>
            <w:pPr>
              <w:spacing w:after="0" w:line="260"/>
            </w:pPr>
            <w:r>
              <w:rPr>
                <w:sz w:val="19"/>
                <w:szCs w:val="19"/>
              </w:rPr>
              <w:t xml:space="preserve">Not found in DeepEval's metric docs, G-Eval's own docs, or the Confident AI dashboard description — checked directly, three separate times, not assumed. metric.reason explains this score, this time; it is generated fresh per test case, not a fixed "what it measures / how to read it" that stays on the page whether the run's numbers look good or alarming.</w:t>
            </w:r>
          </w:p>
        </w:tc>
      </w:tr>
    </w:tbl>
    <w:p>
      <w:pPr>
        <w:spacing w:after="160"/>
      </w:pPr>
    </w:p>
    <w:p>
      <w:pPr>
        <w:spacing w:after="140" w:line="300"/>
      </w:pPr>
      <w:r>
        <w:rPr>
          <w:sz w:val="21"/>
          <w:szCs w:val="21"/>
        </w:rPr>
        <w:t xml:space="preserve">The corrected version, stated plainly: per-case reasoning and aggregate-to-case traceability are both real capabilities DeepEval and Confident AI offer, not gaps — an earlier pass at this comparison implied more of an edge here than the evidence actually supports, and the fix was to check the docs again rather than let the first answer stand. What still has no documented equivalent in either product is the standing, always-present explanation of a metric's own meaning — the specific thing that made the Quality tab's What it measures / How to read it columns worth adding in the first place, and the same discipline behind the Shape checks and Gaps tabs carrying a reason on every row, pass or fail, rather than only on the failures a search would surface.</w:t>
      </w:r>
    </w:p>
    <w:p>
      <w:pPr>
        <w:spacing w:after="140" w:line="300"/>
      </w:pPr>
      <w:r>
        <w:rPr>
          <w:sz w:val="21"/>
          <w:szCs w:val="21"/>
        </w:rPr>
        <w:t xml:space="preserve">What was actually borrowed rather than merely admired: explicit step decomposition, applied to the census prompt above. The other core G-Eval technique — reading a score from the model's own token probabilities instead of sampling and voting — mapped cleanly onto a different part of this system, covered next.</w:t>
      </w:r>
    </w:p>
    <w:p>
      <w:pPr>
        <w:pStyle w:val="Heading1"/>
        <w:pBdr>
          <w:bottom w:val="single" w:color="C8C8C8" w:sz="6" w:space="6"/>
        </w:pBdr>
        <w:spacing w:after="160" w:before="380"/>
      </w:pPr>
      <w:r>
        <w:rPr>
          <w:b/>
          <w:bCs/>
          <w:color w:val="1F4E79"/>
          <w:sz w:val="30"/>
          <w:szCs w:val="30"/>
        </w:rPr>
        <w:t xml:space="preserve">An optional second judge: reading confidence instead of voting</w:t>
      </w:r>
    </w:p>
    <w:p>
      <w:pPr>
        <w:spacing w:after="140" w:line="300"/>
      </w:pPr>
      <w:r>
        <w:rPr>
          <w:sz w:val="21"/>
          <w:szCs w:val="21"/>
        </w:rPr>
        <w:t xml:space="preserve">Majority voting across three repeated samples can only ever report one of four discrete outcomes — 0/3, 1/3, 2/3, 3/3. Two claims can both come back 3/3 entails while one was a landslide on every run and the other was each run barely leaning that way; the vote cannot tell them apart, because only the words agreed, not the certainty behind them. G-Eval's log-probability-weighted scoring reads that certainty directly, in a single call, instead of inferring it from repetition. Built as a genuinely optional second entailment judge — the existing three-run majority vote is unchanged and remains the default for every client that cannot do this.</w:t>
      </w:r>
    </w:p>
    <w:p>
      <w:pPr>
        <w:spacing w:after="140" w:line="300"/>
      </w:pPr>
      <w:r>
        <w:rPr>
          <w:sz w:val="21"/>
          <w:szCs w:val="21"/>
        </w:rPr>
        <w:t xml:space="preserve">Gated on capability, not on which provider is configured: the new judge runs only when the active client exposes a generate_with_logprobs method, currently true only for this project's Ollama client — Anthropic's API does not expose token probabilities as of this writing, confirmed directly rather than assumed. One call per claim, not three, and not batched together the way the majority-vote judge batches several claims per call: logprobs are read at a specific token position, and locating which token belongs to which claim inside one shared JSON reply is a real alignment problem this project chose not to take on for a first version. Instead, the model is asked for exactly one word — Contradicts, No_evidence, Mentions_only, or Entails, four candidates chosen specifically because they start with four different letters, so the very first token of the reply is already enough to identify the answer.</w:t>
      </w:r>
    </w:p>
    <w:p>
      <w:pPr>
        <w:pStyle w:val="Heading2"/>
        <w:spacing w:after="120" w:before="260"/>
      </w:pPr>
      <w:r>
        <w:rPr>
          <w:b/>
          <w:bCs/>
          <w:color w:val="2E2E2E"/>
          <w:sz w:val="24"/>
          <w:szCs w:val="24"/>
        </w:rPr>
        <w:t xml:space="preserve">What actually happened when this was pointed at real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56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Model</w:t>
            </w:r>
          </w:p>
        </w:tc>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Result</w:t>
            </w:r>
          </w:p>
        </w:tc>
        <w:tc>
          <w:tcPr>
            <w:tcW w:type="dxa" w:w="3560"/>
            <w:shd w:fill="1F4E79" w:val="clear"/>
            <w:tcMar>
              <w:top w:type="dxa" w:w="80"/>
              <w:left w:type="dxa" w:w="110"/>
              <w:bottom w:type="dxa" w:w="80"/>
              <w:right w:type="dxa" w:w="110"/>
            </w:tcMar>
          </w:tcPr>
          <w:p>
            <w:pPr>
              <w:spacing w:after="0" w:line="260"/>
            </w:pPr>
            <w:r>
              <w:rPr>
                <w:b/>
                <w:bCs/>
                <w:color w:val="FFFFFF"/>
                <w:sz w:val="19"/>
                <w:szCs w:val="19"/>
              </w:rPr>
              <w:t xml:space="preserve">Cause</w:t>
            </w:r>
          </w:p>
        </w:tc>
      </w:tr>
      <w:tr>
        <w:trPr>
          <w:cantSplit/>
        </w:trPr>
        <w:tc>
          <w:tcPr>
            <w:tcW w:type="dxa" w:w="2400"/>
            <w:tcMar>
              <w:top w:type="dxa" w:w="80"/>
              <w:left w:type="dxa" w:w="110"/>
              <w:bottom w:type="dxa" w:w="80"/>
              <w:right w:type="dxa" w:w="110"/>
            </w:tcMar>
          </w:tcPr>
          <w:p>
            <w:pPr>
              <w:spacing w:after="0" w:line="260"/>
            </w:pPr>
            <w:r>
              <w:rPr>
                <w:sz w:val="19"/>
                <w:szCs w:val="19"/>
              </w:rPr>
              <w:t xml:space="preserve">gpt-oss:120b-cloud (used throughout this project)</w:t>
            </w:r>
          </w:p>
        </w:tc>
        <w:tc>
          <w:tcPr>
            <w:tcW w:type="dxa" w:w="2900"/>
            <w:tcMar>
              <w:top w:type="dxa" w:w="80"/>
              <w:left w:type="dxa" w:w="110"/>
              <w:bottom w:type="dxa" w:w="80"/>
              <w:right w:type="dxa" w:w="110"/>
            </w:tcMar>
          </w:tcPr>
          <w:p>
            <w:pPr>
              <w:spacing w:after="0" w:line="260"/>
            </w:pPr>
            <w:r>
              <w:rPr>
                <w:sz w:val="19"/>
                <w:szCs w:val="19"/>
              </w:rPr>
              <w:t xml:space="preserve">Answered correctly, returned zero logprobs</w:t>
            </w:r>
          </w:p>
        </w:tc>
        <w:tc>
          <w:tcPr>
            <w:tcW w:type="dxa" w:w="3560"/>
            <w:tcMar>
              <w:top w:type="dxa" w:w="80"/>
              <w:left w:type="dxa" w:w="110"/>
              <w:bottom w:type="dxa" w:w="80"/>
              <w:right w:type="dxa" w:w="110"/>
            </w:tcMar>
          </w:tcPr>
          <w:p>
            <w:pPr>
              <w:spacing w:after="0" w:line="260"/>
            </w:pPr>
            <w:r>
              <w:rPr>
                <w:sz w:val="19"/>
                <w:szCs w:val="19"/>
              </w:rPr>
              <w:t xml:space="preserve">Ollama's cloud-hosted models do not populate the logprobs field at all — a property of the specific backend, invisible to a check on the client class</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qwen3.8 (local, a thinking/reasoning model)</w:t>
            </w:r>
          </w:p>
        </w:tc>
        <w:tc>
          <w:tcPr>
            <w:tcW w:type="dxa" w:w="2900"/>
            <w:shd w:fill="F7F9FB" w:val="clear"/>
            <w:tcMar>
              <w:top w:type="dxa" w:w="80"/>
              <w:left w:type="dxa" w:w="110"/>
              <w:bottom w:type="dxa" w:w="80"/>
              <w:right w:type="dxa" w:w="110"/>
            </w:tcMar>
          </w:tcPr>
          <w:p>
            <w:pPr>
              <w:spacing w:after="0" w:line="260"/>
            </w:pPr>
            <w:r>
              <w:rPr>
                <w:sz w:val="19"/>
                <w:szCs w:val="19"/>
              </w:rPr>
              <w:t xml:space="preserve">Returned one non-empty logprob token: "The"</w:t>
            </w:r>
          </w:p>
        </w:tc>
        <w:tc>
          <w:tcPr>
            <w:tcW w:type="dxa" w:w="3560"/>
            <w:shd w:fill="F7F9FB" w:val="clear"/>
            <w:tcMar>
              <w:top w:type="dxa" w:w="80"/>
              <w:left w:type="dxa" w:w="110"/>
              <w:bottom w:type="dxa" w:w="80"/>
              <w:right w:type="dxa" w:w="110"/>
            </w:tcMar>
          </w:tcPr>
          <w:p>
            <w:pPr>
              <w:spacing w:after="0" w:line="260"/>
            </w:pPr>
            <w:r>
              <w:rPr>
                <w:sz w:val="19"/>
                <w:szCs w:val="19"/>
              </w:rPr>
              <w:t xml:space="preserve">The token was the start of its hidden reasoning trace, not its actual answer ("ENTAILS", correctly present in the plain response text) — logprobs and the final answer were simply not the same thing for this model</w:t>
            </w:r>
          </w:p>
        </w:tc>
      </w:tr>
      <w:tr>
        <w:trPr>
          <w:cantSplit/>
        </w:trPr>
        <w:tc>
          <w:tcPr>
            <w:tcW w:type="dxa" w:w="2400"/>
            <w:tcMar>
              <w:top w:type="dxa" w:w="80"/>
              <w:left w:type="dxa" w:w="110"/>
              <w:bottom w:type="dxa" w:w="80"/>
              <w:right w:type="dxa" w:w="110"/>
            </w:tcMar>
          </w:tcPr>
          <w:p>
            <w:pPr>
              <w:spacing w:after="0" w:line="260"/>
            </w:pPr>
            <w:r>
              <w:rPr>
                <w:sz w:val="19"/>
                <w:szCs w:val="19"/>
              </w:rPr>
              <w:t xml:space="preserve">llama3.2 (local, plain instruction-following, 2GB)</w:t>
            </w:r>
          </w:p>
        </w:tc>
        <w:tc>
          <w:tcPr>
            <w:tcW w:type="dxa" w:w="2900"/>
            <w:tcMar>
              <w:top w:type="dxa" w:w="80"/>
              <w:left w:type="dxa" w:w="110"/>
              <w:bottom w:type="dxa" w:w="80"/>
              <w:right w:type="dxa" w:w="110"/>
            </w:tcMar>
          </w:tcPr>
          <w:p>
            <w:pPr>
              <w:spacing w:after="0" w:line="260"/>
            </w:pPr>
            <w:r>
              <w:rPr>
                <w:sz w:val="19"/>
                <w:szCs w:val="19"/>
              </w:rPr>
              <w:t xml:space="preserve">Worked exactly as designed</w:t>
            </w:r>
          </w:p>
        </w:tc>
        <w:tc>
          <w:tcPr>
            <w:tcW w:type="dxa" w:w="3560"/>
            <w:tcMar>
              <w:top w:type="dxa" w:w="80"/>
              <w:left w:type="dxa" w:w="110"/>
              <w:bottom w:type="dxa" w:w="80"/>
              <w:right w:type="dxa" w:w="110"/>
            </w:tcMar>
          </w:tcPr>
          <w:p>
            <w:pPr>
              <w:spacing w:after="0" w:line="260"/>
            </w:pPr>
            <w:r>
              <w:rPr>
                <w:sz w:val="19"/>
                <w:szCs w:val="19"/>
              </w:rPr>
              <w:t xml:space="preserve">Real confidence scores — 57%, 62%, 68% — on genuine judgments, only 13 output tokens spent across 3 calls, since it actually answered with just the verdict word</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Neither failure mode was hypothetical, and neither was caught by the capability check alone.</w:t>
      </w:r>
      <w:r>
        <w:rPr>
          <w:sz w:val="21"/>
          <w:szCs w:val="21"/>
        </w:rPr>
        <w:t xml:space="preserve"> hasattr(llm_client, "generate_with_logprobs") only asks "is this an Ollama client" — it cannot see that a specific backend or a specific model will not actually honour the request. Both failures only showed up on a real call. A LogprobsUnsupportedError is now raised the first time a call fails to produce a usable verdict from logprobs — whether because nothing came back at all, or because something came back that never matched any of the four words — and "auto" mode catches it, logs a clear warning, and falls back to the ordinary majority-vote judge for the rest of that run. Forcing the logprob judge explicitly still raises rather than hiding the problem.</w:t>
      </w:r>
    </w:p>
    <w:p>
      <w:pPr>
        <w:spacing w:after="140" w:line="300"/>
      </w:pPr>
      <w:r>
        <w:rPr>
          <w:sz w:val="21"/>
          <w:szCs w:val="21"/>
        </w:rPr>
        <w:t xml:space="preserve">A further, related discovery closed a second gap before it shipped: Ollama's /api/generate endpoint has a documented upstream bug in which think:false is silently ignored for some hybrid-reasoning models — the /api/chat endpoint's equivalent works, the generate endpoint's does not, reliably, for every model. Suppressing a thinking model's reasoning on a per-request basis therefore cannot be depended on. The fix was architectural rather than a flag: run_validation now accepts an optional judge_llm_client, a second client used only for judging, so a thinking-capable model can stay configured for extraction and the census while a small, plain instruction-following model handles the judge calls alone. Verified live with genuinely different clients — gpt-oss:120b-cloud running the rest of the pipeline, llama3.2 running the judge — with both clients' usage correctly combined into one accurate total (7 calls, 15,454 tokens) rather than the second client's spend going uncounted.</w:t>
      </w:r>
    </w:p>
    <w:p>
      <w:pPr>
        <w:spacing w:after="140" w:line="300"/>
      </w:pPr>
      <w:r>
        <w:rPr>
          <w:sz w:val="21"/>
          <w:szCs w:val="21"/>
        </w:rPr>
        <w:t xml:space="preserve">Stated plainly, for this project's own established environment: since gpt-oss:120b-cloud is what every real run in this paper has used, auto mode alone currently always falls back to majority_vote — the feature is real, verified, and correctly instrumented, but inert here without the one additional judge_llm_client argument pointed at a genuinely local, plain instruction-following model.</w:t>
      </w:r>
    </w:p>
    <w:p>
      <w:pPr>
        <w:pStyle w:val="Heading2"/>
        <w:spacing w:after="120" w:before="260"/>
      </w:pPr>
      <w:r>
        <w:rPr>
          <w:b/>
          <w:bCs/>
          <w:color w:val="2E2E2E"/>
          <w:sz w:val="24"/>
          <w:szCs w:val="24"/>
        </w:rPr>
        <w:t xml:space="preserve">A full document, not a smoke test — and a report that now says which model did the judging</w:t>
      </w:r>
    </w:p>
    <w:p>
      <w:pPr>
        <w:spacing w:after="140" w:line="300"/>
      </w:pPr>
      <w:r>
        <w:rPr>
          <w:sz w:val="21"/>
          <w:szCs w:val="21"/>
        </w:rPr>
        <w:t xml:space="preserve">Two things closed together: the report now records main_model and judge_model separately — provider and model string, e.g. "OllamaClient (llama3.2:latest)" — so a reader no longer has to assume the judge used whatever model ran the rest of the pipeline; and the logprob judge was run against a full document end to end for the first time, all eight RFC 6749 claims from the earlier section, real credentials, gpt-oss:120b-cloud extracting and censusing, llama3.2 judging alone via judge_llm_client.</w:t>
      </w:r>
    </w:p>
    <w:p>
      <w:pPr>
        <w:spacing w:after="140" w:line="300"/>
      </w:pPr>
      <w:r>
        <w:rPr>
          <w:sz w:val="21"/>
          <w:szCs w:val="21"/>
        </w:rPr>
        <w:t xml:space="preserve">The mechanism held up completely: 8 calls rather than the majority-vote judge's usual multiple of that, real per-claim confidence on every claim, and both models correctly distinguished in the resulting report's own main_model and judge_model fields. The verdicts did not hold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600"/>
        <w:gridCol w:w="18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Majority-vote verdict (earlier)</w:t>
            </w:r>
          </w:p>
        </w:tc>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Logprob verdict (llama3.2)</w:t>
            </w:r>
          </w:p>
        </w:tc>
        <w:tc>
          <w:tcPr>
            <w:tcW w:type="dxa" w:w="1860"/>
            <w:shd w:fill="1F4E79" w:val="clear"/>
            <w:tcMar>
              <w:top w:type="dxa" w:w="80"/>
              <w:left w:type="dxa" w:w="110"/>
              <w:bottom w:type="dxa" w:w="80"/>
              <w:right w:type="dxa" w:w="110"/>
            </w:tcMar>
          </w:tcPr>
          <w:p>
            <w:pPr>
              <w:spacing w:after="0" w:line="260"/>
            </w:pPr>
            <w:r>
              <w:rPr>
                <w:b/>
                <w:bCs/>
                <w:color w:val="FFFFFF"/>
                <w:sz w:val="19"/>
                <w:szCs w:val="19"/>
              </w:rPr>
              <w:t xml:space="preserve">Confidence</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68%</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26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71%</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b/>
                <w:bCs/>
                <w:sz w:val="19"/>
                <w:szCs w:val="19"/>
              </w:rPr>
              <w:t xml:space="preserve">entails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73%</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67%</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200"/>
            <w:tcMar>
              <w:top w:type="dxa" w:w="80"/>
              <w:left w:type="dxa" w:w="110"/>
              <w:bottom w:type="dxa" w:w="80"/>
              <w:right w:type="dxa" w:w="110"/>
            </w:tcMar>
          </w:tcPr>
          <w:p>
            <w:pPr>
              <w:spacing w:after="0" w:line="260"/>
            </w:pPr>
            <w:r>
              <w:rPr>
                <w:b/>
                <w:bCs/>
                <w:sz w:val="19"/>
                <w:szCs w:val="19"/>
              </w:rPr>
              <w:t xml:space="preserve">contradicts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77%</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2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63%</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72%</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2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78%</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Every one of the eight claims came back mentions_only.</w:t>
      </w:r>
      <w:r>
        <w:rPr>
          <w:sz w:val="21"/>
          <w:szCs w:val="21"/>
        </w:rPr>
        <w:t xml:space="preserve"> The majority-vote judge, on the identical eight claims against the identical document, reaches a real, differentiated spread — entails on C3 and C8, contradicts on C4 and C5, no_evidence on C6. llama3.2 collapsed all five of those into the same hedged category, each time at a moderate, plausible-looking confidence (63–78%) that gives no hint anything is wrong. This is a finding about llama3.2's judgment quality on this specific task, not a defect in the logprob-reading mechanism: the confidence numbers are computed correctly from what the model actually output, and what it actually output was the safe answer, regardless of what the cited passage said.</w:t>
      </w:r>
    </w:p>
    <w:p>
      <w:pPr>
        <w:spacing w:after="140" w:line="300"/>
      </w:pPr>
      <w:r>
        <w:rPr>
          <w:sz w:val="21"/>
          <w:szCs w:val="21"/>
        </w:rPr>
        <w:t xml:space="preserve">The lesson is not "the logprob judge doesn't work" — the mechanism, the model-agnostic capability gating, the fallback safety net, and now the model logging have all been verified correctly, independently of this result. The lesson is that a small, plain instruction-following model answering in one word is not the same thing as a small model that can actually tell contradicts from entails on real prose, and this project had not measured that distinction before running the full document. It has now.</w:t>
      </w:r>
    </w:p>
    <w:p>
      <w:pPr>
        <w:pStyle w:val="Heading1"/>
        <w:pBdr>
          <w:bottom w:val="single" w:color="C8C8C8" w:sz="6" w:space="6"/>
        </w:pBdr>
        <w:spacing w:after="160" w:before="380"/>
      </w:pPr>
      <w:r>
        <w:rPr>
          <w:b/>
          <w:bCs/>
          <w:color w:val="1F4E79"/>
          <w:sz w:val="30"/>
          <w:szCs w:val="30"/>
        </w:rPr>
        <w:t xml:space="preserve">What these four documents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across all four documents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completed once (confirmed) and failed to trigger once more (RFC 6749, real credentials) — whether it ever overturns anything on this pipeline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and catches fabricated claims (PKCE, Singapore arbitration) it was never told were fabricated</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 undercounts for two distinct, unrelated reasons (chunk-coincidence at scale, unverifiable citations on small documents) — neither has a fix tried yet</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on demand: two different concepts, three different documents, four different runs, all showed a real spread or a coverage change rather than a fixed answer</w:t>
            </w:r>
          </w:p>
        </w:tc>
        <w:tc>
          <w:tcPr>
            <w:tcW w:type="dxa" w:w="5960"/>
            <w:tcMar>
              <w:top w:type="dxa" w:w="80"/>
              <w:left w:type="dxa" w:w="110"/>
              <w:bottom w:type="dxa" w:w="80"/>
              <w:right w:type="dxa" w:w="110"/>
            </w:tcMar>
          </w:tcPr>
          <w:p>
            <w:pPr>
              <w:spacing w:after="0" w:line="260"/>
            </w:pPr>
            <w:r>
              <w:rPr>
                <w:sz w:val="19"/>
                <w:szCs w:val="19"/>
              </w:rPr>
              <w:t xml:space="preserve">Only one document (RFC 6749) has been run at real scale; the other three are all small — whether 182 chunks is representative of "large" is itself untested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A real infrastructure failure (a transient 500 mid-run) was survived, logged, and did not take the run down — the resilience this pipeline was built with, exercised rather than only claimed</w:t>
            </w:r>
          </w:p>
        </w:tc>
        <w:tc>
          <w:tcPr>
            <w:tcW w:type="dxa" w:w="5960"/>
            <w:shd w:fill="F7F9FB" w:val="clear"/>
            <w:tcMar>
              <w:top w:type="dxa" w:w="80"/>
              <w:left w:type="dxa" w:w="110"/>
              <w:bottom w:type="dxa" w:w="80"/>
              <w:right w:type="dxa" w:w="110"/>
            </w:tcMar>
          </w:tcPr>
          <w:p>
            <w:pPr>
              <w:spacing w:after="0" w:line="260"/>
            </w:pPr>
            <w:r>
              <w:rPr>
                <w:sz w:val="19"/>
                <w:szCs w:val="19"/>
              </w:rPr>
              <w:t xml:space="preserve">A real defect in hand-authored claim data (an unquoted CSV comma) was caught only because its verdict looked wrong — nothing in this system currently validates claim input before judging it</w:t>
            </w:r>
          </w:p>
        </w:tc>
      </w:tr>
      <w:tr>
        <w:trPr>
          <w:cantSplit/>
        </w:trPr>
        <w:tc>
          <w:tcPr>
            <w:tcW w:type="dxa" w:w="3400"/>
            <w:tcMar>
              <w:top w:type="dxa" w:w="80"/>
              <w:left w:type="dxa" w:w="110"/>
              <w:bottom w:type="dxa" w:w="80"/>
              <w:right w:type="dxa" w:w="110"/>
            </w:tcMar>
          </w:tcPr>
          <w:p>
            <w:pPr>
              <w:spacing w:after="0" w:line="260"/>
            </w:pPr>
            <w:r>
              <w:rPr>
                <w:sz w:val="19"/>
                <w:szCs w:val="19"/>
              </w:rPr>
              <w:t xml:space="preserve">Pinning census temperature produces a real, measured reduction in instability (27→20 total spread across RFC 6749's six concepts) — not assumed, A/B tested</w:t>
            </w:r>
          </w:p>
        </w:tc>
        <w:tc>
          <w:tcPr>
            <w:tcW w:type="dxa" w:w="5960"/>
            <w:tcMar>
              <w:top w:type="dxa" w:w="80"/>
              <w:left w:type="dxa" w:w="110"/>
              <w:bottom w:type="dxa" w:w="80"/>
              <w:right w:type="dxa" w:w="110"/>
            </w:tcMar>
          </w:tcPr>
          <w:p>
            <w:pPr>
              <w:spacing w:after="0" w:line="260"/>
            </w:pPr>
            <w:r>
              <w:rPr>
                <w:sz w:val="19"/>
                <w:szCs w:val="19"/>
              </w:rPr>
              <w:t xml:space="preserve">That reduction is partial and unevenly distributed (one concept's spread widened); batching's own share of the instability has not yet been isolated by its own A/B</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batch-size A/B ran clean on Anthropic (240 calls, zero failures) after gpt-oss:120b-cloud (quota exhausted) and two local models (unreliable under sustained load) each failed for real, different reasons — a smaller batch raised absolute counts (more recall) but also raised total spread (24→34), a genuine, unpredicted tradeoff</w:t>
            </w:r>
          </w:p>
        </w:tc>
        <w:tc>
          <w:tcPr>
            <w:tcW w:type="dxa" w:w="5960"/>
            <w:shd w:fill="F7F9FB" w:val="clear"/>
            <w:tcMar>
              <w:top w:type="dxa" w:w="80"/>
              <w:left w:type="dxa" w:w="110"/>
              <w:bottom w:type="dxa" w:w="80"/>
              <w:right w:type="dxa" w:w="110"/>
            </w:tcMar>
          </w:tcPr>
          <w:p>
            <w:pPr>
              <w:spacing w:after="0" w:line="260"/>
            </w:pPr>
            <w:r>
              <w:rPr>
                <w:sz w:val="19"/>
                <w:szCs w:val="19"/>
              </w:rPr>
              <w:t xml:space="preserve">Not yet tested whether the same inverted result holds on gpt-oss:120b-cloud once its quota resets, or on a different document — one model, one document is this finding's whole evidence base so far</w:t>
            </w:r>
          </w:p>
        </w:tc>
      </w:tr>
      <w:tr>
        <w:trPr>
          <w:cantSplit/>
        </w:trPr>
        <w:tc>
          <w:tcPr>
            <w:tcW w:type="dxa" w:w="3400"/>
            <w:tcMar>
              <w:top w:type="dxa" w:w="80"/>
              <w:left w:type="dxa" w:w="110"/>
              <w:bottom w:type="dxa" w:w="80"/>
              <w:right w:type="dxa" w:w="110"/>
            </w:tcMar>
          </w:tcPr>
          <w:p>
            <w:pPr>
              <w:spacing w:after="0" w:line="260"/>
            </w:pPr>
            <w:r>
              <w:rPr>
                <w:sz w:val="19"/>
                <w:szCs w:val="19"/>
              </w:rPr>
              <w:t xml:space="preserve">The logprob-confidence mechanism is verified at full-document scale (all 8 RFC 6749 claims): real per-claim confidence, correct model logging, correct fallback behaviour when a model can't actually support it</w:t>
            </w:r>
          </w:p>
        </w:tc>
        <w:tc>
          <w:tcPr>
            <w:tcW w:type="dxa" w:w="5960"/>
            <w:tcMar>
              <w:top w:type="dxa" w:w="80"/>
              <w:left w:type="dxa" w:w="110"/>
              <w:bottom w:type="dxa" w:w="80"/>
              <w:right w:type="dxa" w:w="110"/>
            </w:tcMar>
          </w:tcPr>
          <w:p>
            <w:pPr>
              <w:spacing w:after="0" w:line="260"/>
            </w:pPr>
            <w:r>
              <w:rPr>
                <w:sz w:val="19"/>
                <w:szCs w:val="19"/>
              </w:rPr>
              <w:t xml:space="preserve">llama3.2 specifically is not a strong enough judge for this task — it collapsed 5 of 8 claims to a more hedged verdict than the majority-vote judge reached on the identical claims; whether a larger local model closes that gap is untested</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Running RFC 6749 again with credentials was done — see above — and it answered a narrower question than hoped: not whether escalation overturns anything, only that this specific claim set does not reliably produce the split verdict escalation needs.</w:t>
      </w:r>
      <w:r>
        <w:rPr>
          <w:sz w:val="21"/>
          <w:szCs w:val="21"/>
        </w:rPr>
        <w:t xml:space="preserve"> Five credentialed attempts across two documents have now produced one trigger and one confirmation. The honest next step is not a sixth attempt at the same claims; it is claims deliberately written to be borderline — assertions sitting closer to the line between mentions_only and contradicts than any of the thirty-two written so far — since that is what a split verdict actually requires, and this project has so far only found one by accident rather than by design.</w:t>
      </w:r>
    </w:p>
    <w:p>
      <w:pPr>
        <w:spacing w:after="140" w:line="300"/>
      </w:pPr>
      <w:r>
        <w:rPr>
          <w:b/>
          <w:bCs/>
          <w:sz w:val="21"/>
          <w:szCs w:val="21"/>
        </w:rPr>
        <w:t xml:space="preserve">Second: the gap report's two failure modes need two different fixes, not one.</w:t>
      </w:r>
      <w:r>
        <w:rPr>
          <w:sz w:val="21"/>
          <w:szCs w:val="21"/>
        </w:rPr>
        <w:t xml:space="preserve"> The chunk-coincidence problem (RFC 6749) wants a coarser match — concept-type-level or section-level rather than exact-chunk. The citation-verification problem (the services agreement) wants the census itself to try harder, or to say explicitly when it found a name but never pinned a location, rather than that absence reading identically to "never mentioned" in the current report. Building only one fix and assuming it covers both would repeat the mistake this paper keeps finding: one document's finding is not automatically true of a different document.</w:t>
      </w:r>
    </w:p>
    <w:p>
      <w:pPr>
        <w:spacing w:after="140" w:line="300"/>
      </w:pPr>
      <w:r>
        <w:rPr>
          <w:sz w:val="21"/>
          <w:szCs w:val="21"/>
        </w:rPr>
        <w:t xml:space="preserve">Third: repeat the census on RFC 6749's parameter concept again and see whether the 21–31 spread narrows, widens, or lands somewhere else entirely. Two data points establish that the instability is real; they do not yet establish its shape — and the same question now applies to concepts_covered itself, which moved between two runs on the identical cached ontology without anything else changing.</w:t>
      </w:r>
    </w:p>
    <w:p>
      <w:pPr>
        <w:spacing w:after="140" w:line="300"/>
      </w:pPr>
      <w:r>
        <w:rPr>
          <w:sz w:val="21"/>
          <w:szCs w:val="21"/>
        </w:rPr>
        <w:t xml:space="preserve">Fourth: at least one large document beyond RFC 6749. Every finding above about scale rests on a sample of one; a second large document, in a different domain, is what would tell whether 182 chunks and OAuth's own particular structure are representative of "large" generally, or just of this one document.</w:t>
      </w:r>
    </w:p>
    <w:p>
      <w:pPr>
        <w:spacing w:after="140" w:line="300"/>
      </w:pPr>
      <w:r>
        <w:rPr>
          <w:b/>
          <w:bCs/>
          <w:sz w:val="21"/>
          <w:szCs w:val="21"/>
        </w:rPr>
        <w:t xml:space="preserve">Fifth — done, and the answer inverted the hypothesis: a smaller census_batch did not reduce RFC 6749's instability, it increased it (24 -&gt; 34 total spread), while also raising absolute counts across the board.</w:t>
      </w:r>
      <w:r>
        <w:rPr>
          <w:sz w:val="21"/>
          <w:szCs w:val="21"/>
        </w:rPr>
        <w:t xml:space="preserve"> The honest next step is not re-running the same comparison again; it is checking whether this is a property of batching generally or of claude-haiku-4-5 specifically — the same A/B on gpt-oss:120b-cloud, once its quota resets, or on a second document, would tell which.</w:t>
      </w:r>
    </w:p>
    <w:p>
      <w:pPr>
        <w:spacing w:after="140" w:line="300"/>
      </w:pPr>
      <w:r>
        <w:rPr>
          <w:b/>
          <w:bCs/>
          <w:sz w:val="21"/>
          <w:szCs w:val="21"/>
        </w:rPr>
        <w:t xml:space="preserve">Sixth — done, and answered narrower than hoped: the logprob judge was run against a full document end to end, and the mechanism confirmed working while the model chosen for it did not.</w:t>
      </w:r>
      <w:r>
        <w:rPr>
          <w:sz w:val="21"/>
          <w:szCs w:val="21"/>
        </w:rPr>
        <w:t xml:space="preserve"> llama3.2 collapsed 5 of RFC 6749's 8 claims to mentions_only where the majority-vote judge on the same claims found entails, contradicts, and no_evidence — see above. The honest next step is not "the logprob judge needs more testing"; it is a specific, answerable question: try a larger local instruction model as judge_llm_client on the same eight claims, and see whether the collapse was llama3.2's size specifically, or a property of the one-call, single-word-answer design that a bigger model would show just as much.</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Six of those runs, across the four documents, produced the per-claim verdicts and gap reports in the earlier sections, each captured in one script invocation so a document's verdicts and gap report describe the same execution rather than being assembled from runs taken at different times. The census-instability, DeepEval-comparison, and logprob-judge sections rest on their own further recorded runs on top of those six — controlled A/B pairs for the temperature, step-decomposition and batch-size figures, and live attempts across six separate real models in total (gpt-oss:120b-cloud, qwen3.8, llama3.2:1b, llama3.2:latest, and Anthropic's claude-haiku-4-5 and claude-sonnet-5) — each described with the specific model, outcome and claim or chunk count that produced it, including the failed attempts, rather than folded into one running total that would hide which model actually backs which number.</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2026-08-23T11:13:57.409Z</dcterms:created>
  <dcterms:modified xsi:type="dcterms:W3CDTF">2026-08-23T11:13:57.415Z</dcterms:modified>
</cp:coreProperties>
</file>

<file path=docProps/custom.xml><?xml version="1.0" encoding="utf-8"?>
<Properties xmlns="http://schemas.openxmlformats.org/officeDocument/2006/custom-properties" xmlns:vt="http://schemas.openxmlformats.org/officeDocument/2006/docPropsVTypes"/>
</file>