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An Independent Claim Validator</w:t>
      </w:r>
    </w:p>
    <w:p>
      <w:pPr>
        <w:spacing w:after="60"/>
      </w:pPr>
      <w:r>
        <w:rPr>
          <w:i/>
          <w:iCs/>
          <w:color w:val="5A5A5A"/>
          <w:sz w:val="22"/>
          <w:szCs w:val="22"/>
        </w:rPr>
        <w:t xml:space="preserve">Checking a claim nobody in this pipeline generated, against a document it understands deeply</w:t>
      </w:r>
    </w:p>
    <w:p>
      <w:pPr>
        <w:pBdr>
          <w:bottom w:val="single" w:color="1F4E79" w:sz="8" w:space="8"/>
        </w:pBdr>
        <w:spacing w:after="300"/>
      </w:pPr>
      <w:r>
        <w:rPr>
          <w:color w:val="5A5A5A"/>
          <w:sz w:val="19"/>
          <w:szCs w:val="19"/>
        </w:rPr>
        <w:t xml:space="preserve">22 August 2026 (updated)</w:t>
      </w:r>
    </w:p>
    <w:p>
      <w:pPr>
        <w:pStyle w:val="Heading1"/>
        <w:pBdr>
          <w:bottom w:val="single" w:color="C8C8C8" w:sz="6" w:space="6"/>
        </w:pBdr>
        <w:spacing w:after="160" w:before="380"/>
      </w:pPr>
      <w:r>
        <w:rPr>
          <w:b/>
          <w:bCs/>
          <w:color w:val="1F4E79"/>
          <w:sz w:val="30"/>
          <w:szCs w:val="30"/>
        </w:rPr>
        <w:t xml:space="preserve">Executive summary</w:t>
      </w:r>
    </w:p>
    <w:p>
      <w:pPr>
        <w:spacing w:after="140" w:line="300"/>
      </w:pPr>
      <w:r>
        <w:rPr>
          <w:sz w:val="21"/>
          <w:szCs w:val="21"/>
        </w:rPr>
        <w:t xml:space="preserve">Given a reference document and a set of claims nobody in this system wrote — someone else's requirement, someone else's summary, a row typed into a spreadsheet by a person — this project independently judges whether each claim is actually supported, and separately reports what the claims never address at all. It generates nothing itself. It only checks.</w:t>
      </w:r>
    </w:p>
    <w:p>
      <w:pPr>
        <w:spacing w:after="140" w:line="300"/>
      </w:pPr>
      <w:r>
        <w:rPr>
          <w:sz w:val="21"/>
          <w:szCs w:val="21"/>
        </w:rPr>
        <w:t xml:space="preserve">The architecture is small on purpose. An ontology and a retrieval index are built once per document and reused automatically after that. An entailment judge checks each claim against a passage it either already cites or that retrieval finds for it, three times over, reporting the majority verdict rather than a single pass. A free, deterministic shape check runs on every claim regardless of the verdict, catching the ones with nothing checkable in them before a model is ever asked an opinion. And a gap report — new, and the reason this exists as its own thing rather than a single quality score — compares what the claims actually cite against a census of the document itself, so a claim set can be perfectly correct and still be shown, honestly, as leaving most of a document untouched.</w:t>
      </w:r>
    </w:p>
    <w:p>
      <w:pPr>
        <w:spacing w:after="140" w:line="300"/>
      </w:pPr>
      <w:r>
        <w:rPr>
          <w:b/>
          <w:bCs/>
          <w:sz w:val="21"/>
          <w:szCs w:val="21"/>
        </w:rPr>
        <w:t xml:space="preserve">This is now verified across four documents and six recorded runs, not one.</w:t>
      </w:r>
      <w:r>
        <w:rPr>
          <w:sz w:val="21"/>
          <w:szCs w:val="21"/>
        </w:rPr>
        <w:t xml:space="preserve"> A small clinical trial protocol (3 chunks), RFC 6749 — the OAuth 2.0 specification, 182 chunks, the actual scale this system is meant for — a commercial services agreement (4 chunks), and a small REST API specification (4 chunks). Thirty-two hand-written claims in total across the four, spanning true, contradicting, entirely absent, and genuinely on-topic-but-unstated. Every run went through Ollama Cloud's gpt-oss:120b; every claim in every run came back with a real citation and a verdict a person can check against quoted document text.</w:t>
      </w:r>
    </w:p>
    <w:p>
      <w:pPr>
        <w:spacing w:after="140" w:line="300"/>
      </w:pPr>
      <w:r>
        <w:rPr>
          <w:sz w:val="21"/>
          <w:szCs w:val="21"/>
        </w:rPr>
        <w:t xml:space="preserve">The larger run produced a finding the smaller ones structurally could not: two concepts the claims plainly discussed by topic — tokens, and the specific HTTP redirect response one claim was written about — came back with zero gap-report coverage. Not a bug: the report checks whether a claim's citation lands in the same chunk where the census anchored a specific named instance, and at 182 chunks, "discusses the same topic" and "cites the same chunk" can genuinely diverge. A second, different failure mode showed up on the services agreement: several concepts came back at zero coverage despite every claim's retrieval touching the document's entire 4-chunk span, because the census itself could not confidently verify which chunk a handful of single-instance concepts live in. Two documents, two distinct honest reasons the same report can undercount — neither found by design, both found by running it.</w:t>
      </w:r>
    </w:p>
    <w:p>
      <w:pPr>
        <w:spacing w:after="140" w:line="300"/>
      </w:pPr>
      <w:r>
        <w:rPr>
          <w:b/>
          <w:bCs/>
          <w:sz w:val="21"/>
          <w:szCs w:val="21"/>
        </w:rPr>
        <w:t xml:space="preserve">Escalation to a stronger model has now been tested twice with real Anthropic credentials, not zero.</w:t>
      </w:r>
      <w:r>
        <w:rPr>
          <w:sz w:val="21"/>
          <w:szCs w:val="21"/>
        </w:rPr>
        <w:t xml:space="preserve"> On the small document it triggered once (out of four independent attempts) and confirmed the first model's verdict rather than overturning it. On RFC 6749, run again with credentials configured, it never triggered at all — both contradictions in that run landed unanimous. One confirmation and one non-trigger, across five credentialed attempts total, is the honest current state of what this project knows about whether escalation ever changes anything here.</w:t>
      </w:r>
    </w:p>
    <w:p>
      <w:pPr>
        <w:spacing w:after="140" w:line="300"/>
      </w:pPr>
      <w:r>
        <w:rPr>
          <w:sz w:val="21"/>
          <w:szCs w:val="21"/>
        </w:rPr>
        <w:t xml:space="preserve">The report itself grew in the course of this work, and one of those changes is worth naming here specifically: writing a plain-language explanation of every quality metric — What it measures, How to read it — for a metric called escalated forced a check of what a zero there actually meant. It meant two different things depending on the run, collapsed into one number. That was fixed by adding a second metric next to it. A second defect was found the same way this project finds most of its defects — by running the thing: an unquoted comma in a hand-written claim's own text silently truncated it via ordinary CSV parsing, and a transient 500 from the cloud model mid-run was logged and survived rather than taking the whole extraction down. Both are named in their own sections below rather than quietly fixed and left unmentioned.</w:t>
      </w:r>
    </w:p>
    <w:p>
      <w:pPr>
        <w:pStyle w:val="Heading1"/>
        <w:pBdr>
          <w:bottom w:val="single" w:color="C8C8C8" w:sz="6" w:space="6"/>
        </w:pBdr>
        <w:spacing w:after="160" w:before="380"/>
      </w:pPr>
      <w:r>
        <w:rPr>
          <w:b/>
          <w:bCs/>
          <w:color w:val="1F4E79"/>
          <w:sz w:val="30"/>
          <w:szCs w:val="30"/>
        </w:rPr>
        <w:t xml:space="preserve">Background: a job with no single owner</w:t>
      </w:r>
    </w:p>
    <w:p>
      <w:pPr>
        <w:spacing w:after="140" w:line="300"/>
      </w:pPr>
      <w:r>
        <w:rPr>
          <w:sz w:val="21"/>
          <w:szCs w:val="21"/>
        </w:rPr>
        <w:t xml:space="preserve">Deciding whether a claim is actually supported by a document is common and usually informal — a person reading fifty rows in a spreadsheet, deciding by eye which ones the source text backs up. That judgment rarely gets written down as a repeatable method, and it rarely gets checked twice: once someone decides a claim looks right, nothing revisits it.</w:t>
      </w:r>
    </w:p>
    <w:p>
      <w:pPr>
        <w:spacing w:after="140" w:line="300"/>
      </w:pPr>
      <w:r>
        <w:rPr>
          <w:sz w:val="21"/>
          <w:szCs w:val="21"/>
        </w:rPr>
        <w:t xml:space="preserve">This project is built around making that judgment repeatable and checkable, without weakening it to make it easy: </w:t>
      </w:r>
      <w:r>
        <w:rPr>
          <w:b/>
          <w:bCs/>
          <w:sz w:val="21"/>
          <w:szCs w:val="21"/>
        </w:rPr>
        <w:t xml:space="preserve">can a claim be judged against a document with the same rigour whether a machine wrote it, a person typed it, or it arrived from somewhere else entirely?</w:t>
      </w:r>
      <w:r>
        <w:rPr>
          <w:sz w:val="21"/>
          <w:szCs w:val="21"/>
        </w:rPr>
        <w:t xml:space="preserve"> Everything below is the answer, built and checked rather than assumed.</w:t>
      </w:r>
    </w:p>
    <w:p>
      <w:pPr>
        <w:pStyle w:val="Heading1"/>
        <w:pBdr>
          <w:bottom w:val="single" w:color="C8C8C8" w:sz="6" w:space="6"/>
        </w:pBdr>
        <w:spacing w:after="160" w:before="380"/>
      </w:pPr>
      <w:r>
        <w:rPr>
          <w:b/>
          <w:bCs/>
          <w:color w:val="1F4E79"/>
          <w:sz w:val="30"/>
          <w:szCs w:val="30"/>
        </w:rPr>
        <w:t xml:space="preserve">What the architecture actually does</w:t>
      </w:r>
    </w:p>
    <w:p>
      <w:pPr>
        <w:spacing w:after="140" w:line="300"/>
      </w:pPr>
      <w:r>
        <w:rPr>
          <w:sz w:val="21"/>
          <w:szCs w:val="21"/>
        </w:rPr>
        <w:t xml:space="preserve">The entailment judge accepts any object exposing an id, a title, an expected outcome, a list of criteria and a list of cited chunk indices — not a specific class, just those attributes. That single design choice is why a bare id-plus-text claim, wrapped in a small object exposing those five fields, satisfies the judge exactly as well as anything more elaborate would. The free shape check works the same way, reading whatever attributes it needs off the object it's given rather than requiring a particular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shd w:fill="1F4E79" w:val="clear"/>
            <w:tcMar>
              <w:top w:type="dxa" w:w="80"/>
              <w:left w:type="dxa" w:w="110"/>
              <w:bottom w:type="dxa" w:w="80"/>
              <w:right w:type="dxa" w:w="110"/>
            </w:tcMar>
          </w:tcPr>
          <w:p>
            <w:pPr>
              <w:spacing w:after="0" w:line="260"/>
            </w:pPr>
            <w:r>
              <w:rPr>
                <w:b/>
                <w:bCs/>
                <w:color w:val="FFFFFF"/>
                <w:sz w:val="19"/>
                <w:szCs w:val="19"/>
              </w:rPr>
              <w:t xml:space="preserve">Component</w:t>
            </w:r>
          </w:p>
        </w:tc>
        <w:tc>
          <w:tcPr>
            <w:tcW w:type="dxa" w:w="7360"/>
            <w:shd w:fill="1F4E79" w:val="clear"/>
            <w:tcMar>
              <w:top w:type="dxa" w:w="80"/>
              <w:left w:type="dxa" w:w="110"/>
              <w:bottom w:type="dxa" w:w="80"/>
              <w:right w:type="dxa" w:w="110"/>
            </w:tcMar>
          </w:tcPr>
          <w:p>
            <w:pPr>
              <w:spacing w:after="0" w:line="260"/>
            </w:pPr>
            <w:r>
              <w:rPr>
                <w:b/>
                <w:bCs/>
                <w:color w:val="FFFFFF"/>
                <w:sz w:val="19"/>
                <w:szCs w:val="19"/>
              </w:rPr>
              <w:t xml:space="preserve">What makes it work on a bare claim</w:t>
            </w:r>
          </w:p>
        </w:tc>
      </w:tr>
      <w:tr>
        <w:trPr>
          <w:cantSplit/>
        </w:trPr>
        <w:tc>
          <w:tcPr>
            <w:tcW w:type="dxa" w:w="2000"/>
            <w:tcMar>
              <w:top w:type="dxa" w:w="80"/>
              <w:left w:type="dxa" w:w="110"/>
              <w:bottom w:type="dxa" w:w="80"/>
              <w:right w:type="dxa" w:w="110"/>
            </w:tcMar>
          </w:tcPr>
          <w:p>
            <w:pPr>
              <w:spacing w:after="0" w:line="260"/>
            </w:pPr>
            <w:r>
              <w:rPr>
                <w:sz w:val="19"/>
                <w:szCs w:val="19"/>
              </w:rPr>
              <w:t xml:space="preserve">The entailment judge</w:t>
            </w:r>
          </w:p>
        </w:tc>
        <w:tc>
          <w:tcPr>
            <w:tcW w:type="dxa" w:w="7360"/>
            <w:tcMar>
              <w:top w:type="dxa" w:w="80"/>
              <w:left w:type="dxa" w:w="110"/>
              <w:bottom w:type="dxa" w:w="80"/>
              <w:right w:type="dxa" w:w="110"/>
            </w:tcMar>
          </w:tcPr>
          <w:p>
            <w:pPr>
              <w:spacing w:after="0" w:line="260"/>
            </w:pPr>
            <w:r>
              <w:rPr>
                <w:sz w:val="19"/>
                <w:szCs w:val="19"/>
              </w:rPr>
              <w:t xml:space="preserve">Duck-typed by design; nothing about it assumes where the claim came from</w:t>
            </w:r>
          </w:p>
        </w:tc>
      </w:tr>
      <w:tr>
        <w:trPr>
          <w:cantSplit/>
        </w:trPr>
        <w:tc>
          <w:tcPr>
            <w:tcW w:type="dxa" w:w="2000"/>
            <w:shd w:fill="F7F9FB" w:val="clear"/>
            <w:tcMar>
              <w:top w:type="dxa" w:w="80"/>
              <w:left w:type="dxa" w:w="110"/>
              <w:bottom w:type="dxa" w:w="80"/>
              <w:right w:type="dxa" w:w="110"/>
            </w:tcMar>
          </w:tcPr>
          <w:p>
            <w:pPr>
              <w:spacing w:after="0" w:line="260"/>
            </w:pPr>
            <w:r>
              <w:rPr>
                <w:sz w:val="19"/>
                <w:szCs w:val="19"/>
              </w:rPr>
              <w:t xml:space="preserve">The shape check</w:t>
            </w:r>
          </w:p>
        </w:tc>
        <w:tc>
          <w:tcPr>
            <w:tcW w:type="dxa" w:w="7360"/>
            <w:shd w:fill="F7F9FB" w:val="clear"/>
            <w:tcMar>
              <w:top w:type="dxa" w:w="80"/>
              <w:left w:type="dxa" w:w="110"/>
              <w:bottom w:type="dxa" w:w="80"/>
              <w:right w:type="dxa" w:w="110"/>
            </w:tcMar>
          </w:tcPr>
          <w:p>
            <w:pPr>
              <w:spacing w:after="0" w:line="260"/>
            </w:pPr>
            <w:r>
              <w:rPr>
                <w:sz w:val="19"/>
                <w:szCs w:val="19"/>
              </w:rPr>
              <w:t xml:space="preserve">Reads attributes generically; a small wrapper object is indistinguishable from anything else</w:t>
            </w:r>
          </w:p>
        </w:tc>
      </w:tr>
      <w:tr>
        <w:trPr>
          <w:cantSplit/>
        </w:trPr>
        <w:tc>
          <w:tcPr>
            <w:tcW w:type="dxa" w:w="2000"/>
            <w:tcMar>
              <w:top w:type="dxa" w:w="80"/>
              <w:left w:type="dxa" w:w="110"/>
              <w:bottom w:type="dxa" w:w="80"/>
              <w:right w:type="dxa" w:w="110"/>
            </w:tcMar>
          </w:tcPr>
          <w:p>
            <w:pPr>
              <w:spacing w:after="0" w:line="260"/>
            </w:pPr>
            <w:r>
              <w:rPr>
                <w:sz w:val="19"/>
                <w:szCs w:val="19"/>
              </w:rPr>
              <w:t xml:space="preserve">The census</w:t>
            </w:r>
          </w:p>
        </w:tc>
        <w:tc>
          <w:tcPr>
            <w:tcW w:type="dxa" w:w="7360"/>
            <w:tcMar>
              <w:top w:type="dxa" w:w="80"/>
              <w:left w:type="dxa" w:w="110"/>
              <w:bottom w:type="dxa" w:w="80"/>
              <w:right w:type="dxa" w:w="110"/>
            </w:tcMar>
          </w:tcPr>
          <w:p>
            <w:pPr>
              <w:spacing w:after="0" w:line="260"/>
            </w:pPr>
            <w:r>
              <w:rPr>
                <w:sz w:val="19"/>
                <w:szCs w:val="19"/>
              </w:rPr>
              <w:t xml:space="preserve">Takes plain (name, description) pairs and a chunk list — no dependency on any particular document model</w:t>
            </w:r>
          </w:p>
        </w:tc>
      </w:tr>
      <w:tr>
        <w:trPr>
          <w:cantSplit/>
        </w:trPr>
        <w:tc>
          <w:tcPr>
            <w:tcW w:type="dxa" w:w="2000"/>
            <w:shd w:fill="F7F9FB" w:val="clear"/>
            <w:tcMar>
              <w:top w:type="dxa" w:w="80"/>
              <w:left w:type="dxa" w:w="110"/>
              <w:bottom w:type="dxa" w:w="80"/>
              <w:right w:type="dxa" w:w="110"/>
            </w:tcMar>
          </w:tcPr>
          <w:p>
            <w:pPr>
              <w:spacing w:after="0" w:line="260"/>
            </w:pPr>
            <w:r>
              <w:rPr>
                <w:sz w:val="19"/>
                <w:szCs w:val="19"/>
              </w:rPr>
              <w:t xml:space="preserve">The model client</w:t>
            </w:r>
          </w:p>
        </w:tc>
        <w:tc>
          <w:tcPr>
            <w:tcW w:type="dxa" w:w="7360"/>
            <w:shd w:fill="F7F9FB" w:val="clear"/>
            <w:tcMar>
              <w:top w:type="dxa" w:w="80"/>
              <w:left w:type="dxa" w:w="110"/>
              <w:bottom w:type="dxa" w:w="80"/>
              <w:right w:type="dxa" w:w="110"/>
            </w:tcMar>
          </w:tcPr>
          <w:p>
            <w:pPr>
              <w:spacing w:after="0" w:line="260"/>
            </w:pPr>
            <w:r>
              <w:rPr>
                <w:sz w:val="19"/>
                <w:szCs w:val="19"/>
              </w:rPr>
              <w:t xml:space="preserve">One contract — generate(prompt, system_prompt=None) -&gt; str — is all any check depends on, so the underlying model is swappable without touching the checks themselves</w:t>
            </w:r>
          </w:p>
        </w:tc>
      </w:tr>
    </w:tbl>
    <w:p>
      <w:pPr>
        <w:spacing w:after="160"/>
      </w:pPr>
    </w:p>
    <w:p>
      <w:pPr>
        <w:spacing w:after="140" w:line="300"/>
      </w:pPr>
      <w:r>
        <w:rPr>
          <w:sz w:val="21"/>
          <w:szCs w:val="21"/>
        </w:rPr>
        <w:t xml:space="preserve">Two pieces were built specifically for this project, for reasons worth stating rather than leaving implicit:</w:t>
      </w:r>
    </w:p>
    <w:p>
      <w:pPr>
        <w:pStyle w:val="ListParagraph"/>
        <w:numPr>
          <w:ilvl w:val="0"/>
          <w:numId w:val="2"/>
        </w:numPr>
        <w:spacing w:after="90" w:line="300"/>
      </w:pPr>
      <w:r>
        <w:rPr>
          <w:sz w:val="21"/>
          <w:szCs w:val="21"/>
        </w:rPr>
        <w:t xml:space="preserve">Retrieval for a claim finds supporting passages and stops there — the judge decides whether they actually support the claim, not a second model call generating a fresh answer. The one precision-preserving detail kept: a document concept's own vocabulary becomes a separate search probe, never concatenated onto the claim's own text, since concatenating lets a few generic words outweigh the one distinctive word in the claim and displace the right passage instead of adding to it.</w:t>
      </w:r>
    </w:p>
    <w:p>
      <w:pPr>
        <w:pStyle w:val="ListParagraph"/>
        <w:numPr>
          <w:ilvl w:val="0"/>
          <w:numId w:val="2"/>
        </w:numPr>
        <w:spacing w:after="90" w:line="300"/>
      </w:pPr>
      <w:r>
        <w:rPr>
          <w:sz w:val="21"/>
          <w:szCs w:val="21"/>
        </w:rPr>
        <w:t xml:space="preserve">The gap report is new because comparing a document's census against a specific extraction only makes sense when you own that extraction. A claim list from outside the system has no such object to compare against — so the report instead diffs the chunks a claim set actually cited against where the census verified each concept instance lives, which is a different, and more generally applicable, comparison.</w:t>
      </w:r>
    </w:p>
    <w:p>
      <w:pPr>
        <w:spacing w:after="140" w:line="300"/>
      </w:pPr>
      <w:r>
        <w:rPr>
          <w:sz w:val="21"/>
          <w:szCs w:val="21"/>
        </w:rPr>
        <w:t xml:space="preserve">The API returns a job id in well under a second and does the actual multi-minute work — building or reusing the ontology, retrieving, judging, censusing — in the background, backed by a database row that survives a restart. Every completed job also writes a full Excel report automatically, not only a JSON response, since the JSON is for a program to read and the Excel is for a person to.</w:t>
      </w:r>
    </w:p>
    <w:p>
      <w:pPr>
        <w:pStyle w:val="Heading1"/>
        <w:pBdr>
          <w:bottom w:val="single" w:color="C8C8C8" w:sz="6" w:space="6"/>
        </w:pBdr>
        <w:spacing w:after="160" w:before="380"/>
      </w:pPr>
      <w:r>
        <w:rPr>
          <w:b/>
          <w:bCs/>
          <w:color w:val="1F4E79"/>
          <w:sz w:val="30"/>
          <w:szCs w:val="30"/>
        </w:rPr>
        <w:t xml:space="preserve">The first real run: a small document</w:t>
      </w:r>
    </w:p>
    <w:p>
      <w:pPr>
        <w:spacing w:after="140" w:line="300"/>
      </w:pPr>
      <w:r>
        <w:rPr>
          <w:sz w:val="21"/>
          <w:szCs w:val="21"/>
        </w:rPr>
        <w:t xml:space="preserve">Four claims, written by hand against a small oncology trial protocol (ONC-2291, 7 sections, 3 chunks) — two intended to be true, one a deliberately subtle miscalibration, one a plausible-sounding claim the document never actually makes.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1100"/>
        <w:gridCol w:w="3660"/>
      </w:tblGrid>
      <w:tr>
        <w:trPr>
          <w:cantSplit/>
          <w:tblHeader/>
        </w:trPr>
        <w:tc>
          <w:tcPr>
            <w:tcW w:type="dxa" w:w="900"/>
            <w:shd w:fill="1F4E79" w:val="clear"/>
            <w:tcMar>
              <w:top w:type="dxa" w:w="80"/>
              <w:left w:type="dxa" w:w="110"/>
              <w:bottom w:type="dxa" w:w="80"/>
              <w:right w:type="dxa" w:w="110"/>
            </w:tcMar>
          </w:tcPr>
          <w:p>
            <w:pPr>
              <w:spacing w:after="0" w:line="260"/>
            </w:pPr>
            <w:r>
              <w:rPr>
                <w:b/>
                <w:bCs/>
                <w:color w:val="FFFFFF"/>
                <w:sz w:val="19"/>
                <w:szCs w:val="19"/>
              </w:rPr>
              <w:t xml:space="preserve">Claim</w:t>
            </w:r>
          </w:p>
        </w:tc>
        <w:tc>
          <w:tcPr>
            <w:tcW w:type="dxa" w:w="3200"/>
            <w:shd w:fill="1F4E79" w:val="clear"/>
            <w:tcMar>
              <w:top w:type="dxa" w:w="80"/>
              <w:left w:type="dxa" w:w="110"/>
              <w:bottom w:type="dxa" w:w="80"/>
              <w:right w:type="dxa" w:w="110"/>
            </w:tcMar>
          </w:tcPr>
          <w:p>
            <w:pPr>
              <w:spacing w:after="0" w:line="260"/>
            </w:pPr>
            <w:r>
              <w:rPr>
                <w:b/>
                <w:bCs/>
                <w:color w:val="FFFFFF"/>
                <w:sz w:val="19"/>
                <w:szCs w:val="19"/>
              </w:rPr>
              <w:t xml:space="preserve">Text</w:t>
            </w:r>
          </w:p>
        </w:tc>
        <w:tc>
          <w:tcPr>
            <w:tcW w:type="dxa" w:w="1500"/>
            <w:shd w:fill="1F4E79" w:val="clear"/>
            <w:tcMar>
              <w:top w:type="dxa" w:w="80"/>
              <w:left w:type="dxa" w:w="110"/>
              <w:bottom w:type="dxa" w:w="80"/>
              <w:right w:type="dxa" w:w="110"/>
            </w:tcMar>
          </w:tcPr>
          <w:p>
            <w:pPr>
              <w:spacing w:after="0" w:line="260"/>
            </w:pPr>
            <w:r>
              <w:rPr>
                <w:b/>
                <w:bCs/>
                <w:color w:val="FFFFFF"/>
                <w:sz w:val="19"/>
                <w:szCs w:val="19"/>
              </w:rPr>
              <w:t xml:space="preserve">Verdict</w:t>
            </w:r>
          </w:p>
        </w:tc>
        <w:tc>
          <w:tcPr>
            <w:tcW w:type="dxa" w:w="1100"/>
            <w:shd w:fill="1F4E79" w:val="clear"/>
            <w:tcMar>
              <w:top w:type="dxa" w:w="80"/>
              <w:left w:type="dxa" w:w="110"/>
              <w:bottom w:type="dxa" w:w="80"/>
              <w:right w:type="dxa" w:w="110"/>
            </w:tcMar>
          </w:tcPr>
          <w:p>
            <w:pPr>
              <w:spacing w:after="0" w:line="260"/>
            </w:pPr>
            <w:r>
              <w:rPr>
                <w:b/>
                <w:bCs/>
                <w:color w:val="FFFFFF"/>
                <w:sz w:val="19"/>
                <w:szCs w:val="19"/>
              </w:rPr>
              <w:t xml:space="preserve">Agreement</w:t>
            </w:r>
          </w:p>
        </w:tc>
        <w:tc>
          <w:tcPr>
            <w:tcW w:type="dxa" w:w="3660"/>
            <w:shd w:fill="1F4E79" w:val="clear"/>
            <w:tcMar>
              <w:top w:type="dxa" w:w="80"/>
              <w:left w:type="dxa" w:w="110"/>
              <w:bottom w:type="dxa" w:w="80"/>
              <w:right w:type="dxa" w:w="110"/>
            </w:tcMar>
          </w:tcPr>
          <w:p>
            <w:pPr>
              <w:spacing w:after="0" w:line="260"/>
            </w:pPr>
            <w:r>
              <w:rPr>
                <w:b/>
                <w:bCs/>
                <w:color w:val="FFFFFF"/>
                <w:sz w:val="19"/>
                <w:szCs w:val="19"/>
              </w:rPr>
              <w:t xml:space="preserve">Reason (quoted from the model's own answer)</w:t>
            </w:r>
          </w:p>
        </w:tc>
      </w:tr>
      <w:tr>
        <w:trPr>
          <w:cantSplit/>
        </w:trPr>
        <w:tc>
          <w:tcPr>
            <w:tcW w:type="dxa" w:w="900"/>
            <w:tcMar>
              <w:top w:type="dxa" w:w="80"/>
              <w:left w:type="dxa" w:w="110"/>
              <w:bottom w:type="dxa" w:w="80"/>
              <w:right w:type="dxa" w:w="110"/>
            </w:tcMar>
          </w:tcPr>
          <w:p>
            <w:pPr>
              <w:spacing w:after="0" w:line="260"/>
            </w:pPr>
            <w:r>
              <w:rPr>
                <w:sz w:val="19"/>
                <w:szCs w:val="19"/>
              </w:rPr>
              <w:t xml:space="preserve">C1</w:t>
            </w:r>
          </w:p>
        </w:tc>
        <w:tc>
          <w:tcPr>
            <w:tcW w:type="dxa" w:w="3200"/>
            <w:tcMar>
              <w:top w:type="dxa" w:w="80"/>
              <w:left w:type="dxa" w:w="110"/>
              <w:bottom w:type="dxa" w:w="80"/>
              <w:right w:type="dxa" w:w="110"/>
            </w:tcMar>
          </w:tcPr>
          <w:p>
            <w:pPr>
              <w:spacing w:after="0" w:line="260"/>
            </w:pPr>
            <w:r>
              <w:rPr>
                <w:sz w:val="19"/>
                <w:szCs w:val="19"/>
              </w:rPr>
              <w:t xml:space="preserve">Patients must be at least 18 years old to enrol.</w:t>
            </w:r>
          </w:p>
        </w:tc>
        <w:tc>
          <w:tcPr>
            <w:tcW w:type="dxa" w:w="1500"/>
            <w:tcMar>
              <w:top w:type="dxa" w:w="80"/>
              <w:left w:type="dxa" w:w="110"/>
              <w:bottom w:type="dxa" w:w="80"/>
              <w:right w:type="dxa" w:w="110"/>
            </w:tcMar>
          </w:tcPr>
          <w:p>
            <w:pPr>
              <w:spacing w:after="0" w:line="260"/>
            </w:pPr>
            <w:r>
              <w:rPr>
                <w:b/>
                <w:bCs/>
                <w:sz w:val="19"/>
                <w:szCs w:val="19"/>
              </w:rPr>
              <w:t xml:space="preserve">contradicts</w:t>
            </w:r>
          </w:p>
        </w:tc>
        <w:tc>
          <w:tcPr>
            <w:tcW w:type="dxa" w:w="1100"/>
            <w:tcMar>
              <w:top w:type="dxa" w:w="80"/>
              <w:left w:type="dxa" w:w="110"/>
              <w:bottom w:type="dxa" w:w="80"/>
              <w:right w:type="dxa" w:w="110"/>
            </w:tcMar>
          </w:tcPr>
          <w:p>
            <w:pPr>
              <w:spacing w:after="0" w:line="260"/>
            </w:pPr>
            <w:r>
              <w:rPr>
                <w:sz w:val="19"/>
                <w:szCs w:val="19"/>
              </w:rPr>
              <w:t xml:space="preserve">2/3</w:t>
            </w:r>
          </w:p>
        </w:tc>
        <w:tc>
          <w:tcPr>
            <w:tcW w:type="dxa" w:w="3660"/>
            <w:tcMar>
              <w:top w:type="dxa" w:w="80"/>
              <w:left w:type="dxa" w:w="110"/>
              <w:bottom w:type="dxa" w:w="80"/>
              <w:right w:type="dxa" w:w="110"/>
            </w:tcMar>
          </w:tcPr>
          <w:p>
            <w:pPr>
              <w:spacing w:after="0" w:line="260"/>
            </w:pPr>
            <w:r>
              <w:rPr>
                <w:sz w:val="19"/>
                <w:szCs w:val="19"/>
              </w:rPr>
              <w:t xml:space="preserve">"Patients must be over 18 years of age."</w:t>
            </w:r>
          </w:p>
        </w:tc>
      </w:tr>
      <w:tr>
        <w:trPr>
          <w:cantSplit/>
        </w:trPr>
        <w:tc>
          <w:tcPr>
            <w:tcW w:type="dxa" w:w="900"/>
            <w:shd w:fill="F7F9FB" w:val="clear"/>
            <w:tcMar>
              <w:top w:type="dxa" w:w="80"/>
              <w:left w:type="dxa" w:w="110"/>
              <w:bottom w:type="dxa" w:w="80"/>
              <w:right w:type="dxa" w:w="110"/>
            </w:tcMar>
          </w:tcPr>
          <w:p>
            <w:pPr>
              <w:spacing w:after="0" w:line="260"/>
            </w:pPr>
            <w:r>
              <w:rPr>
                <w:sz w:val="19"/>
                <w:szCs w:val="19"/>
              </w:rPr>
              <w:t xml:space="preserve">C2</w:t>
            </w:r>
          </w:p>
        </w:tc>
        <w:tc>
          <w:tcPr>
            <w:tcW w:type="dxa" w:w="3200"/>
            <w:shd w:fill="F7F9FB" w:val="clear"/>
            <w:tcMar>
              <w:top w:type="dxa" w:w="80"/>
              <w:left w:type="dxa" w:w="110"/>
              <w:bottom w:type="dxa" w:w="80"/>
              <w:right w:type="dxa" w:w="110"/>
            </w:tcMar>
          </w:tcPr>
          <w:p>
            <w:pPr>
              <w:spacing w:after="0" w:line="260"/>
            </w:pPr>
            <w:r>
              <w:rPr>
                <w:sz w:val="19"/>
                <w:szCs w:val="19"/>
              </w:rPr>
              <w:t xml:space="preserve">Dose reduction of pembrolizumab is permitted to manage toxicity.</w:t>
            </w:r>
          </w:p>
        </w:tc>
        <w:tc>
          <w:tcPr>
            <w:tcW w:type="dxa" w:w="1500"/>
            <w:shd w:fill="F7F9FB" w:val="clear"/>
            <w:tcMar>
              <w:top w:type="dxa" w:w="80"/>
              <w:left w:type="dxa" w:w="110"/>
              <w:bottom w:type="dxa" w:w="80"/>
              <w:right w:type="dxa" w:w="110"/>
            </w:tcMar>
          </w:tcPr>
          <w:p>
            <w:pPr>
              <w:spacing w:after="0" w:line="260"/>
            </w:pPr>
            <w:r>
              <w:rPr>
                <w:b/>
                <w:bCs/>
                <w:sz w:val="19"/>
                <w:szCs w:val="19"/>
              </w:rPr>
              <w:t xml:space="preserve">contradicts</w:t>
            </w:r>
          </w:p>
        </w:tc>
        <w:tc>
          <w:tcPr>
            <w:tcW w:type="dxa" w:w="1100"/>
            <w:shd w:fill="F7F9FB" w:val="clear"/>
            <w:tcMar>
              <w:top w:type="dxa" w:w="80"/>
              <w:left w:type="dxa" w:w="110"/>
              <w:bottom w:type="dxa" w:w="80"/>
              <w:right w:type="dxa" w:w="110"/>
            </w:tcMar>
          </w:tcPr>
          <w:p>
            <w:pPr>
              <w:spacing w:after="0" w:line="260"/>
            </w:pPr>
            <w:r>
              <w:rPr>
                <w:sz w:val="19"/>
                <w:szCs w:val="19"/>
              </w:rPr>
              <w:t xml:space="preserve">3/3</w:t>
            </w:r>
          </w:p>
        </w:tc>
        <w:tc>
          <w:tcPr>
            <w:tcW w:type="dxa" w:w="3660"/>
            <w:shd w:fill="F7F9FB" w:val="clear"/>
            <w:tcMar>
              <w:top w:type="dxa" w:w="80"/>
              <w:left w:type="dxa" w:w="110"/>
              <w:bottom w:type="dxa" w:w="80"/>
              <w:right w:type="dxa" w:w="110"/>
            </w:tcMar>
          </w:tcPr>
          <w:p>
            <w:pPr>
              <w:spacing w:after="0" w:line="260"/>
            </w:pPr>
            <w:r>
              <w:rPr>
                <w:sz w:val="19"/>
                <w:szCs w:val="19"/>
              </w:rPr>
              <w:t xml:space="preserve">"dose reduction of pembrolizumab is not permitted"</w:t>
            </w:r>
          </w:p>
        </w:tc>
      </w:tr>
      <w:tr>
        <w:trPr>
          <w:cantSplit/>
        </w:trPr>
        <w:tc>
          <w:tcPr>
            <w:tcW w:type="dxa" w:w="900"/>
            <w:tcMar>
              <w:top w:type="dxa" w:w="80"/>
              <w:left w:type="dxa" w:w="110"/>
              <w:bottom w:type="dxa" w:w="80"/>
              <w:right w:type="dxa" w:w="110"/>
            </w:tcMar>
          </w:tcPr>
          <w:p>
            <w:pPr>
              <w:spacing w:after="0" w:line="260"/>
            </w:pPr>
            <w:r>
              <w:rPr>
                <w:sz w:val="19"/>
                <w:szCs w:val="19"/>
              </w:rPr>
              <w:t xml:space="preserve">C3</w:t>
            </w:r>
          </w:p>
        </w:tc>
        <w:tc>
          <w:tcPr>
            <w:tcW w:type="dxa" w:w="3200"/>
            <w:tcMar>
              <w:top w:type="dxa" w:w="80"/>
              <w:left w:type="dxa" w:w="110"/>
              <w:bottom w:type="dxa" w:w="80"/>
              <w:right w:type="dxa" w:w="110"/>
            </w:tcMar>
          </w:tcPr>
          <w:p>
            <w:pPr>
              <w:spacing w:after="0" w:line="260"/>
            </w:pPr>
            <w:r>
              <w:rPr>
                <w:sz w:val="19"/>
                <w:szCs w:val="19"/>
              </w:rPr>
              <w:t xml:space="preserve">The study requires a body mass index under 30.</w:t>
            </w:r>
          </w:p>
        </w:tc>
        <w:tc>
          <w:tcPr>
            <w:tcW w:type="dxa" w:w="1500"/>
            <w:tcMar>
              <w:top w:type="dxa" w:w="80"/>
              <w:left w:type="dxa" w:w="110"/>
              <w:bottom w:type="dxa" w:w="80"/>
              <w:right w:type="dxa" w:w="110"/>
            </w:tcMar>
          </w:tcPr>
          <w:p>
            <w:pPr>
              <w:spacing w:after="0" w:line="260"/>
            </w:pPr>
            <w:r>
              <w:rPr>
                <w:b/>
                <w:bCs/>
                <w:sz w:val="19"/>
                <w:szCs w:val="19"/>
              </w:rPr>
              <w:t xml:space="preserve">mentions_only</w:t>
            </w:r>
          </w:p>
        </w:tc>
        <w:tc>
          <w:tcPr>
            <w:tcW w:type="dxa" w:w="1100"/>
            <w:tcMar>
              <w:top w:type="dxa" w:w="80"/>
              <w:left w:type="dxa" w:w="110"/>
              <w:bottom w:type="dxa" w:w="80"/>
              <w:right w:type="dxa" w:w="110"/>
            </w:tcMar>
          </w:tcPr>
          <w:p>
            <w:pPr>
              <w:spacing w:after="0" w:line="260"/>
            </w:pPr>
            <w:r>
              <w:rPr>
                <w:sz w:val="19"/>
                <w:szCs w:val="19"/>
              </w:rPr>
              <w:t xml:space="preserve">2/3</w:t>
            </w:r>
          </w:p>
        </w:tc>
        <w:tc>
          <w:tcPr>
            <w:tcW w:type="dxa" w:w="3660"/>
            <w:tcMar>
              <w:top w:type="dxa" w:w="80"/>
              <w:left w:type="dxa" w:w="110"/>
              <w:bottom w:type="dxa" w:w="80"/>
              <w:right w:type="dxa" w:w="110"/>
            </w:tcMar>
          </w:tcPr>
          <w:p>
            <w:pPr>
              <w:spacing w:after="0" w:line="260"/>
            </w:pPr>
            <w:r>
              <w:rPr>
                <w:sz w:val="19"/>
                <w:szCs w:val="19"/>
              </w:rPr>
              <w:t xml:space="preserve">eligibility is discussed; BMI is never mentioned</w:t>
            </w:r>
          </w:p>
        </w:tc>
      </w:tr>
      <w:tr>
        <w:trPr>
          <w:cantSplit/>
        </w:trPr>
        <w:tc>
          <w:tcPr>
            <w:tcW w:type="dxa" w:w="900"/>
            <w:shd w:fill="F7F9FB" w:val="clear"/>
            <w:tcMar>
              <w:top w:type="dxa" w:w="80"/>
              <w:left w:type="dxa" w:w="110"/>
              <w:bottom w:type="dxa" w:w="80"/>
              <w:right w:type="dxa" w:w="110"/>
            </w:tcMar>
          </w:tcPr>
          <w:p>
            <w:pPr>
              <w:spacing w:after="0" w:line="260"/>
            </w:pPr>
            <w:r>
              <w:rPr>
                <w:sz w:val="19"/>
                <w:szCs w:val="19"/>
              </w:rPr>
              <w:t xml:space="preserve">C4</w:t>
            </w:r>
          </w:p>
        </w:tc>
        <w:tc>
          <w:tcPr>
            <w:tcW w:type="dxa" w:w="3200"/>
            <w:shd w:fill="F7F9FB" w:val="clear"/>
            <w:tcMar>
              <w:top w:type="dxa" w:w="80"/>
              <w:left w:type="dxa" w:w="110"/>
              <w:bottom w:type="dxa" w:w="80"/>
              <w:right w:type="dxa" w:w="110"/>
            </w:tcMar>
          </w:tcPr>
          <w:p>
            <w:pPr>
              <w:spacing w:after="0" w:line="260"/>
            </w:pPr>
            <w:r>
              <w:rPr>
                <w:sz w:val="19"/>
                <w:szCs w:val="19"/>
              </w:rPr>
              <w:t xml:space="preserve">The primary endpoint requires blinded independent central review.</w:t>
            </w:r>
          </w:p>
        </w:tc>
        <w:tc>
          <w:tcPr>
            <w:tcW w:type="dxa" w:w="1500"/>
            <w:shd w:fill="F7F9FB" w:val="clear"/>
            <w:tcMar>
              <w:top w:type="dxa" w:w="80"/>
              <w:left w:type="dxa" w:w="110"/>
              <w:bottom w:type="dxa" w:w="80"/>
              <w:right w:type="dxa" w:w="110"/>
            </w:tcMar>
          </w:tcPr>
          <w:p>
            <w:pPr>
              <w:spacing w:after="0" w:line="260"/>
            </w:pPr>
            <w:r>
              <w:rPr>
                <w:b/>
                <w:bCs/>
                <w:sz w:val="19"/>
                <w:szCs w:val="19"/>
              </w:rPr>
              <w:t xml:space="preserve">contradicts</w:t>
            </w:r>
          </w:p>
        </w:tc>
        <w:tc>
          <w:tcPr>
            <w:tcW w:type="dxa" w:w="1100"/>
            <w:shd w:fill="F7F9FB" w:val="clear"/>
            <w:tcMar>
              <w:top w:type="dxa" w:w="80"/>
              <w:left w:type="dxa" w:w="110"/>
              <w:bottom w:type="dxa" w:w="80"/>
              <w:right w:type="dxa" w:w="110"/>
            </w:tcMar>
          </w:tcPr>
          <w:p>
            <w:pPr>
              <w:spacing w:after="0" w:line="260"/>
            </w:pPr>
            <w:r>
              <w:rPr>
                <w:sz w:val="19"/>
                <w:szCs w:val="19"/>
              </w:rPr>
              <w:t xml:space="preserve">3/3</w:t>
            </w:r>
          </w:p>
        </w:tc>
        <w:tc>
          <w:tcPr>
            <w:tcW w:type="dxa" w:w="3660"/>
            <w:shd w:fill="F7F9FB" w:val="clear"/>
            <w:tcMar>
              <w:top w:type="dxa" w:w="80"/>
              <w:left w:type="dxa" w:w="110"/>
              <w:bottom w:type="dxa" w:w="80"/>
              <w:right w:type="dxa" w:w="110"/>
            </w:tcMar>
          </w:tcPr>
          <w:p>
            <w:pPr>
              <w:spacing w:after="0" w:line="260"/>
            </w:pPr>
            <w:r>
              <w:rPr>
                <w:sz w:val="19"/>
                <w:szCs w:val="19"/>
              </w:rPr>
              <w:t xml:space="preserve">"The primary endpoint is overall survival (OS)"; BICR applies only to the secondary PFS endpoint</w:t>
            </w:r>
          </w:p>
        </w:tc>
      </w:tr>
    </w:tbl>
    <w:p>
      <w:pPr>
        <w:spacing w:after="160"/>
      </w:pPr>
    </w:p>
    <w:p>
      <w:pPr>
        <w:spacing w:after="140" w:line="300"/>
      </w:pPr>
      <w:r>
        <w:rPr>
          <w:b/>
          <w:bCs/>
          <w:sz w:val="21"/>
          <w:szCs w:val="21"/>
        </w:rPr>
        <w:t xml:space="preserve">C1 is the more interesting result precisely because it looks like a mistake and is not.</w:t>
      </w:r>
      <w:r>
        <w:rPr>
          <w:sz w:val="21"/>
          <w:szCs w:val="21"/>
        </w:rPr>
        <w:t xml:space="preserve"> The claim ("at least 18") and the document ("over 18") are not identical: strictly read, "over 18" excludes someone exactly 18, while "at least 18" includes them — a genuine, if narrow, boundary mismatch. The judge called it a contradiction rather than an entailment, on a distinction most people would read past. The citation itself is exactly right; only the strictness of the reading is arguable.</w:t>
      </w:r>
    </w:p>
    <w:p>
      <w:pPr>
        <w:pBdr>
          <w:top w:val="single" w:color="DCE6F0" w:sz="2" w:space="8"/>
          <w:bottom w:val="single" w:color="DCE6F0" w:sz="2" w:space="8"/>
          <w:left w:val="single" w:color="1F4E79" w:sz="18" w:space="10"/>
          <w:right w:val="single" w:color="DCE6F0" w:sz="2" w:space="8"/>
        </w:pBdr>
        <w:shd w:fill="F2F6FA" w:val="clear"/>
        <w:spacing w:after="200" w:before="200" w:line="320"/>
        <w:ind w:left="220" w:right="220"/>
      </w:pPr>
      <w:r>
        <w:rPr>
          <w:b/>
          <w:bCs/>
          <w:sz w:val="21"/>
          <w:szCs w:val="21"/>
        </w:rPr>
        <w:t xml:space="preserve">Escalation to a stronger model triggered exactly as designed on all three contradictions, then failed — three times, once per doubtful verdict — because no Anthropic credentials were configured for this run.</w:t>
      </w:r>
      <w:r>
        <w:rPr>
          <w:sz w:val="21"/>
          <w:szCs w:val="21"/>
        </w:rPr>
        <w:t xml:space="preserve"> The original verdicts stood, unchanged: best-effort, never blocking, exactly as designed. This is the correct failure mode, verified by triggering it — but it also means this run alone cannot say whether escalation actually changes anything here.</w:t>
      </w:r>
    </w:p>
    <w:p>
      <w:pPr>
        <w:spacing w:after="140" w:line="300"/>
      </w:pPr>
      <w:r>
        <w:rPr>
          <w:b/>
          <w:bCs/>
          <w:sz w:val="21"/>
          <w:szCs w:val="21"/>
        </w:rPr>
        <w:t xml:space="preserve">Real credentials were configured afterward, specifically to answer that question.</w:t>
      </w:r>
      <w:r>
        <w:rPr>
          <w:sz w:val="21"/>
          <w:szCs w:val="21"/>
        </w:rPr>
        <w:t xml:space="preserve"> Escalation only triggers on a doubtful verdict — undecided, or a contradiction the judge's own three runs didn't agree on unanimously — so the same four claims were run repeatedly until one actually qualified. Three of four independent attempts came back fully unanimous on every claim, needing no escalation at all; on the fourth, C1's "over 18" versus "at least 18" case split, triggered escalation, and completed. The stronger model, claude-sonnet-5, ran its own independent three-pass consensus and reached the same answer: contradicts, confirmed rather than overturned. That needing four attempts to catch one escalating case is itself a finding, not an inconvenience — most of the time this specific judge is unanimous with itself on these four claims; occasionally it is not, and this is what happens on the occasions it isn't.</w:t>
      </w:r>
    </w:p>
    <w:p>
      <w:pPr>
        <w:spacing w:after="140" w:line="300"/>
      </w:pPr>
      <w:r>
        <w:rPr>
          <w:b/>
          <w:bCs/>
          <w:sz w:val="21"/>
          <w:szCs w:val="21"/>
        </w:rPr>
        <w:t xml:space="preserve">On a 3-chunk document, the gap report's own honest limitation showed immediately: the four claims' retrieval touched every one of the three chunks between them, so most concept instances registered as "addressed" by coincidence rather than by the report genuinely distinguishing covered from uncovered content.</w:t>
      </w:r>
      <w:r>
        <w:rPr>
          <w:sz w:val="21"/>
          <w:szCs w:val="21"/>
        </w:rPr>
        <w:t xml:space="preserve"> That limitation is the reason a second run, at real scale, mattered.</w:t>
      </w:r>
    </w:p>
    <w:p>
      <w:pPr>
        <w:pStyle w:val="Heading1"/>
        <w:pBdr>
          <w:bottom w:val="single" w:color="C8C8C8" w:sz="6" w:space="6"/>
        </w:pBdr>
        <w:spacing w:after="160" w:before="380"/>
      </w:pPr>
      <w:r>
        <w:rPr>
          <w:b/>
          <w:bCs/>
          <w:color w:val="1F4E79"/>
          <w:sz w:val="30"/>
          <w:szCs w:val="30"/>
        </w:rPr>
        <w:t xml:space="preserve">The second real run: the document this system is built for</w:t>
      </w:r>
    </w:p>
    <w:p>
      <w:pPr>
        <w:spacing w:after="140" w:line="300"/>
      </w:pPr>
      <w:r>
        <w:rPr>
          <w:sz w:val="21"/>
          <w:szCs w:val="21"/>
        </w:rPr>
        <w:t xml:space="preserve">Eight claims, written by hand against RFC 6749 — the OAuth 2.0 specification, 182 chunks — spanning true, contradicting, absent, and genuinely on-topic-but-unstated. Same model, same discipline, no special-casing for the larger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400"/>
        <w:gridCol w:w="1000"/>
        <w:gridCol w:w="2760"/>
      </w:tblGrid>
      <w:tr>
        <w:trPr>
          <w:cantSplit/>
          <w:tblHeader/>
        </w:trPr>
        <w:tc>
          <w:tcPr>
            <w:tcW w:type="dxa" w:w="700"/>
            <w:shd w:fill="1F4E79" w:val="clear"/>
            <w:tcMar>
              <w:top w:type="dxa" w:w="80"/>
              <w:left w:type="dxa" w:w="110"/>
              <w:bottom w:type="dxa" w:w="80"/>
              <w:right w:type="dxa" w:w="110"/>
            </w:tcMar>
          </w:tcPr>
          <w:p>
            <w:pPr>
              <w:spacing w:after="0" w:line="260"/>
            </w:pPr>
            <w:r>
              <w:rPr>
                <w:b/>
                <w:bCs/>
                <w:color w:val="FFFFFF"/>
                <w:sz w:val="19"/>
                <w:szCs w:val="19"/>
              </w:rPr>
              <w:t xml:space="preserve">Claim</w:t>
            </w:r>
          </w:p>
        </w:tc>
        <w:tc>
          <w:tcPr>
            <w:tcW w:type="dxa" w:w="3500"/>
            <w:shd w:fill="1F4E79" w:val="clear"/>
            <w:tcMar>
              <w:top w:type="dxa" w:w="80"/>
              <w:left w:type="dxa" w:w="110"/>
              <w:bottom w:type="dxa" w:w="80"/>
              <w:right w:type="dxa" w:w="110"/>
            </w:tcMar>
          </w:tcPr>
          <w:p>
            <w:pPr>
              <w:spacing w:after="0" w:line="260"/>
            </w:pPr>
            <w:r>
              <w:rPr>
                <w:b/>
                <w:bCs/>
                <w:color w:val="FFFFFF"/>
                <w:sz w:val="19"/>
                <w:szCs w:val="19"/>
              </w:rPr>
              <w:t xml:space="preserve">Text</w:t>
            </w:r>
          </w:p>
        </w:tc>
        <w:tc>
          <w:tcPr>
            <w:tcW w:type="dxa" w:w="1400"/>
            <w:shd w:fill="1F4E79" w:val="clear"/>
            <w:tcMar>
              <w:top w:type="dxa" w:w="80"/>
              <w:left w:type="dxa" w:w="110"/>
              <w:bottom w:type="dxa" w:w="80"/>
              <w:right w:type="dxa" w:w="110"/>
            </w:tcMar>
          </w:tcPr>
          <w:p>
            <w:pPr>
              <w:spacing w:after="0" w:line="260"/>
            </w:pPr>
            <w:r>
              <w:rPr>
                <w:b/>
                <w:bCs/>
                <w:color w:val="FFFFFF"/>
                <w:sz w:val="19"/>
                <w:szCs w:val="19"/>
              </w:rPr>
              <w:t xml:space="preserve">Verdict</w:t>
            </w:r>
          </w:p>
        </w:tc>
        <w:tc>
          <w:tcPr>
            <w:tcW w:type="dxa" w:w="1000"/>
            <w:shd w:fill="1F4E79" w:val="clear"/>
            <w:tcMar>
              <w:top w:type="dxa" w:w="80"/>
              <w:left w:type="dxa" w:w="110"/>
              <w:bottom w:type="dxa" w:w="80"/>
              <w:right w:type="dxa" w:w="110"/>
            </w:tcMar>
          </w:tcPr>
          <w:p>
            <w:pPr>
              <w:spacing w:after="0" w:line="260"/>
            </w:pPr>
            <w:r>
              <w:rPr>
                <w:b/>
                <w:bCs/>
                <w:color w:val="FFFFFF"/>
                <w:sz w:val="19"/>
                <w:szCs w:val="19"/>
              </w:rPr>
              <w:t xml:space="preserve">Agree.</w:t>
            </w:r>
          </w:p>
        </w:tc>
        <w:tc>
          <w:tcPr>
            <w:tcW w:type="dxa" w:w="2760"/>
            <w:shd w:fill="1F4E79" w:val="clear"/>
            <w:tcMar>
              <w:top w:type="dxa" w:w="80"/>
              <w:left w:type="dxa" w:w="110"/>
              <w:bottom w:type="dxa" w:w="80"/>
              <w:right w:type="dxa" w:w="110"/>
            </w:tcMar>
          </w:tcPr>
          <w:p>
            <w:pPr>
              <w:spacing w:after="0" w:line="260"/>
            </w:pPr>
            <w:r>
              <w:rPr>
                <w:b/>
                <w:bCs/>
                <w:color w:val="FFFFFF"/>
                <w:sz w:val="19"/>
                <w:szCs w:val="19"/>
              </w:rPr>
              <w:t xml:space="preserve">Reason</w:t>
            </w:r>
          </w:p>
        </w:tc>
      </w:tr>
      <w:tr>
        <w:trPr>
          <w:cantSplit/>
        </w:trPr>
        <w:tc>
          <w:tcPr>
            <w:tcW w:type="dxa" w:w="700"/>
            <w:tcMar>
              <w:top w:type="dxa" w:w="80"/>
              <w:left w:type="dxa" w:w="110"/>
              <w:bottom w:type="dxa" w:w="80"/>
              <w:right w:type="dxa" w:w="110"/>
            </w:tcMar>
          </w:tcPr>
          <w:p>
            <w:pPr>
              <w:spacing w:after="0" w:line="260"/>
            </w:pPr>
            <w:r>
              <w:rPr>
                <w:sz w:val="19"/>
                <w:szCs w:val="19"/>
              </w:rPr>
              <w:t xml:space="preserve">C1</w:t>
            </w:r>
          </w:p>
        </w:tc>
        <w:tc>
          <w:tcPr>
            <w:tcW w:type="dxa" w:w="3500"/>
            <w:tcMar>
              <w:top w:type="dxa" w:w="80"/>
              <w:left w:type="dxa" w:w="110"/>
              <w:bottom w:type="dxa" w:w="80"/>
              <w:right w:type="dxa" w:w="110"/>
            </w:tcMar>
          </w:tcPr>
          <w:p>
            <w:pPr>
              <w:spacing w:after="0" w:line="260"/>
            </w:pPr>
            <w:r>
              <w:rPr>
                <w:sz w:val="19"/>
                <w:szCs w:val="19"/>
              </w:rPr>
              <w:t xml:space="preserve">client_credentials is used when the client acts on its own behalf, not the resource owner's.</w:t>
            </w:r>
          </w:p>
        </w:tc>
        <w:tc>
          <w:tcPr>
            <w:tcW w:type="dxa" w:w="1400"/>
            <w:tcMar>
              <w:top w:type="dxa" w:w="80"/>
              <w:left w:type="dxa" w:w="110"/>
              <w:bottom w:type="dxa" w:w="80"/>
              <w:right w:type="dxa" w:w="110"/>
            </w:tcMar>
          </w:tcPr>
          <w:p>
            <w:pPr>
              <w:spacing w:after="0" w:line="260"/>
            </w:pPr>
            <w:r>
              <w:rPr>
                <w:sz w:val="19"/>
                <w:szCs w:val="19"/>
              </w:rPr>
              <w:t xml:space="preserve">mentions_only</w:t>
            </w:r>
          </w:p>
        </w:tc>
        <w:tc>
          <w:tcPr>
            <w:tcW w:type="dxa" w:w="1000"/>
            <w:tcMar>
              <w:top w:type="dxa" w:w="80"/>
              <w:left w:type="dxa" w:w="110"/>
              <w:bottom w:type="dxa" w:w="80"/>
              <w:right w:type="dxa" w:w="110"/>
            </w:tcMar>
          </w:tcPr>
          <w:p>
            <w:pPr>
              <w:spacing w:after="0" w:line="260"/>
            </w:pPr>
            <w:r>
              <w:rPr>
                <w:sz w:val="19"/>
                <w:szCs w:val="19"/>
              </w:rPr>
              <w:t xml:space="preserve">2/3</w:t>
            </w:r>
          </w:p>
        </w:tc>
        <w:tc>
          <w:tcPr>
            <w:tcW w:type="dxa" w:w="2760"/>
            <w:tcMar>
              <w:top w:type="dxa" w:w="80"/>
              <w:left w:type="dxa" w:w="110"/>
              <w:bottom w:type="dxa" w:w="80"/>
              <w:right w:type="dxa" w:w="110"/>
            </w:tcMar>
          </w:tcPr>
          <w:p>
            <w:pPr>
              <w:spacing w:after="0" w:line="260"/>
            </w:pPr>
            <w:r>
              <w:rPr>
                <w:sz w:val="19"/>
                <w:szCs w:val="19"/>
              </w:rPr>
              <w:t xml:space="preserve">lists it as a grant type without describing its purpose</w:t>
            </w:r>
          </w:p>
        </w:tc>
      </w:tr>
      <w:tr>
        <w:trPr>
          <w:cantSplit/>
        </w:trPr>
        <w:tc>
          <w:tcPr>
            <w:tcW w:type="dxa" w:w="700"/>
            <w:shd w:fill="F7F9FB" w:val="clear"/>
            <w:tcMar>
              <w:top w:type="dxa" w:w="80"/>
              <w:left w:type="dxa" w:w="110"/>
              <w:bottom w:type="dxa" w:w="80"/>
              <w:right w:type="dxa" w:w="110"/>
            </w:tcMar>
          </w:tcPr>
          <w:p>
            <w:pPr>
              <w:spacing w:after="0" w:line="260"/>
            </w:pPr>
            <w:r>
              <w:rPr>
                <w:sz w:val="19"/>
                <w:szCs w:val="19"/>
              </w:rPr>
              <w:t xml:space="preserve">C2</w:t>
            </w:r>
          </w:p>
        </w:tc>
        <w:tc>
          <w:tcPr>
            <w:tcW w:type="dxa" w:w="3500"/>
            <w:shd w:fill="F7F9FB" w:val="clear"/>
            <w:tcMar>
              <w:top w:type="dxa" w:w="80"/>
              <w:left w:type="dxa" w:w="110"/>
              <w:bottom w:type="dxa" w:w="80"/>
              <w:right w:type="dxa" w:w="110"/>
            </w:tcMar>
          </w:tcPr>
          <w:p>
            <w:pPr>
              <w:spacing w:after="0" w:line="260"/>
            </w:pPr>
            <w:r>
              <w:rPr>
                <w:sz w:val="19"/>
                <w:szCs w:val="19"/>
              </w:rPr>
              <w:t xml:space="preserve">A 302 redirect returns an authorization code via the user-agent.</w:t>
            </w:r>
          </w:p>
        </w:tc>
        <w:tc>
          <w:tcPr>
            <w:tcW w:type="dxa" w:w="1400"/>
            <w:shd w:fill="F7F9FB" w:val="clear"/>
            <w:tcMar>
              <w:top w:type="dxa" w:w="80"/>
              <w:left w:type="dxa" w:w="110"/>
              <w:bottom w:type="dxa" w:w="80"/>
              <w:right w:type="dxa" w:w="110"/>
            </w:tcMar>
          </w:tcPr>
          <w:p>
            <w:pPr>
              <w:spacing w:after="0" w:line="260"/>
            </w:pPr>
            <w:r>
              <w:rPr>
                <w:sz w:val="19"/>
                <w:szCs w:val="19"/>
              </w:rPr>
              <w:t xml:space="preserve">mentions_only</w:t>
            </w:r>
          </w:p>
        </w:tc>
        <w:tc>
          <w:tcPr>
            <w:tcW w:type="dxa" w:w="1000"/>
            <w:shd w:fill="F7F9FB" w:val="clear"/>
            <w:tcMar>
              <w:top w:type="dxa" w:w="80"/>
              <w:left w:type="dxa" w:w="110"/>
              <w:bottom w:type="dxa" w:w="80"/>
              <w:right w:type="dxa" w:w="110"/>
            </w:tcMar>
          </w:tcPr>
          <w:p>
            <w:pPr>
              <w:spacing w:after="0" w:line="260"/>
            </w:pPr>
            <w:r>
              <w:rPr>
                <w:sz w:val="19"/>
                <w:szCs w:val="19"/>
              </w:rPr>
              <w:t xml:space="preserve">3/3</w:t>
            </w:r>
          </w:p>
        </w:tc>
        <w:tc>
          <w:tcPr>
            <w:tcW w:type="dxa" w:w="2760"/>
            <w:shd w:fill="F7F9FB" w:val="clear"/>
            <w:tcMar>
              <w:top w:type="dxa" w:w="80"/>
              <w:left w:type="dxa" w:w="110"/>
              <w:bottom w:type="dxa" w:w="80"/>
              <w:right w:type="dxa" w:w="110"/>
            </w:tcMar>
          </w:tcPr>
          <w:p>
            <w:pPr>
              <w:spacing w:after="0" w:line="260"/>
            </w:pPr>
            <w:r>
              <w:rPr>
                <w:sz w:val="19"/>
                <w:szCs w:val="19"/>
              </w:rPr>
              <w:t xml:space="preserve">redirection endpoint text found; close, not exact</w:t>
            </w:r>
          </w:p>
        </w:tc>
      </w:tr>
      <w:tr>
        <w:trPr>
          <w:cantSplit/>
        </w:trPr>
        <w:tc>
          <w:tcPr>
            <w:tcW w:type="dxa" w:w="700"/>
            <w:tcMar>
              <w:top w:type="dxa" w:w="80"/>
              <w:left w:type="dxa" w:w="110"/>
              <w:bottom w:type="dxa" w:w="80"/>
              <w:right w:type="dxa" w:w="110"/>
            </w:tcMar>
          </w:tcPr>
          <w:p>
            <w:pPr>
              <w:spacing w:after="0" w:line="260"/>
            </w:pPr>
            <w:r>
              <w:rPr>
                <w:sz w:val="19"/>
                <w:szCs w:val="19"/>
              </w:rPr>
              <w:t xml:space="preserve">C3</w:t>
            </w:r>
          </w:p>
        </w:tc>
        <w:tc>
          <w:tcPr>
            <w:tcW w:type="dxa" w:w="3500"/>
            <w:tcMar>
              <w:top w:type="dxa" w:w="80"/>
              <w:left w:type="dxa" w:w="110"/>
              <w:bottom w:type="dxa" w:w="80"/>
              <w:right w:type="dxa" w:w="110"/>
            </w:tcMar>
          </w:tcPr>
          <w:p>
            <w:pPr>
              <w:spacing w:after="0" w:line="260"/>
            </w:pPr>
            <w:r>
              <w:rPr>
                <w:sz w:val="19"/>
                <w:szCs w:val="19"/>
              </w:rPr>
              <w:t xml:space="preserve">invalid_request is returned when a required parameter is missing or malformed.</w:t>
            </w:r>
          </w:p>
        </w:tc>
        <w:tc>
          <w:tcPr>
            <w:tcW w:type="dxa" w:w="1400"/>
            <w:tcMar>
              <w:top w:type="dxa" w:w="80"/>
              <w:left w:type="dxa" w:w="110"/>
              <w:bottom w:type="dxa" w:w="80"/>
              <w:right w:type="dxa" w:w="110"/>
            </w:tcMar>
          </w:tcPr>
          <w:p>
            <w:pPr>
              <w:spacing w:after="0" w:line="260"/>
            </w:pPr>
            <w:r>
              <w:rPr>
                <w:b/>
                <w:bCs/>
                <w:sz w:val="19"/>
                <w:szCs w:val="19"/>
              </w:rPr>
              <w:t xml:space="preserve">entails</w:t>
            </w:r>
          </w:p>
        </w:tc>
        <w:tc>
          <w:tcPr>
            <w:tcW w:type="dxa" w:w="1000"/>
            <w:tcMar>
              <w:top w:type="dxa" w:w="80"/>
              <w:left w:type="dxa" w:w="110"/>
              <w:bottom w:type="dxa" w:w="80"/>
              <w:right w:type="dxa" w:w="110"/>
            </w:tcMar>
          </w:tcPr>
          <w:p>
            <w:pPr>
              <w:spacing w:after="0" w:line="260"/>
            </w:pPr>
            <w:r>
              <w:rPr>
                <w:sz w:val="19"/>
                <w:szCs w:val="19"/>
              </w:rPr>
              <w:t xml:space="preserve">3/3</w:t>
            </w:r>
          </w:p>
        </w:tc>
        <w:tc>
          <w:tcPr>
            <w:tcW w:type="dxa" w:w="2760"/>
            <w:tcMar>
              <w:top w:type="dxa" w:w="80"/>
              <w:left w:type="dxa" w:w="110"/>
              <w:bottom w:type="dxa" w:w="80"/>
              <w:right w:type="dxa" w:w="110"/>
            </w:tcMar>
          </w:tcPr>
          <w:p>
            <w:pPr>
              <w:spacing w:after="0" w:line="260"/>
            </w:pPr>
            <w:r>
              <w:rPr>
                <w:sz w:val="19"/>
                <w:szCs w:val="19"/>
              </w:rPr>
              <w:t xml:space="preserve">—</w:t>
            </w:r>
          </w:p>
        </w:tc>
      </w:tr>
      <w:tr>
        <w:trPr>
          <w:cantSplit/>
        </w:trPr>
        <w:tc>
          <w:tcPr>
            <w:tcW w:type="dxa" w:w="700"/>
            <w:shd w:fill="F7F9FB" w:val="clear"/>
            <w:tcMar>
              <w:top w:type="dxa" w:w="80"/>
              <w:left w:type="dxa" w:w="110"/>
              <w:bottom w:type="dxa" w:w="80"/>
              <w:right w:type="dxa" w:w="110"/>
            </w:tcMar>
          </w:tcPr>
          <w:p>
            <w:pPr>
              <w:spacing w:after="0" w:line="260"/>
            </w:pPr>
            <w:r>
              <w:rPr>
                <w:sz w:val="19"/>
                <w:szCs w:val="19"/>
              </w:rPr>
              <w:t xml:space="preserve">C4</w:t>
            </w:r>
          </w:p>
        </w:tc>
        <w:tc>
          <w:tcPr>
            <w:tcW w:type="dxa" w:w="3500"/>
            <w:shd w:fill="F7F9FB" w:val="clear"/>
            <w:tcMar>
              <w:top w:type="dxa" w:w="80"/>
              <w:left w:type="dxa" w:w="110"/>
              <w:bottom w:type="dxa" w:w="80"/>
              <w:right w:type="dxa" w:w="110"/>
            </w:tcMar>
          </w:tcPr>
          <w:p>
            <w:pPr>
              <w:spacing w:after="0" w:line="260"/>
            </w:pPr>
            <w:r>
              <w:rPr>
                <w:sz w:val="19"/>
                <w:szCs w:val="19"/>
              </w:rPr>
              <w:t xml:space="preserve">Refresh tokens are always issued for every grant type.</w:t>
            </w:r>
          </w:p>
        </w:tc>
        <w:tc>
          <w:tcPr>
            <w:tcW w:type="dxa" w:w="1400"/>
            <w:shd w:fill="F7F9FB" w:val="clear"/>
            <w:tcMar>
              <w:top w:type="dxa" w:w="80"/>
              <w:left w:type="dxa" w:w="110"/>
              <w:bottom w:type="dxa" w:w="80"/>
              <w:right w:type="dxa" w:w="110"/>
            </w:tcMar>
          </w:tcPr>
          <w:p>
            <w:pPr>
              <w:spacing w:after="0" w:line="260"/>
            </w:pPr>
            <w:r>
              <w:rPr>
                <w:b/>
                <w:bCs/>
                <w:sz w:val="19"/>
                <w:szCs w:val="19"/>
              </w:rPr>
              <w:t xml:space="preserve">contradicts</w:t>
            </w:r>
          </w:p>
        </w:tc>
        <w:tc>
          <w:tcPr>
            <w:tcW w:type="dxa" w:w="1000"/>
            <w:shd w:fill="F7F9FB" w:val="clear"/>
            <w:tcMar>
              <w:top w:type="dxa" w:w="80"/>
              <w:left w:type="dxa" w:w="110"/>
              <w:bottom w:type="dxa" w:w="80"/>
              <w:right w:type="dxa" w:w="110"/>
            </w:tcMar>
          </w:tcPr>
          <w:p>
            <w:pPr>
              <w:spacing w:after="0" w:line="260"/>
            </w:pPr>
            <w:r>
              <w:rPr>
                <w:sz w:val="19"/>
                <w:szCs w:val="19"/>
              </w:rPr>
              <w:t xml:space="preserve">3/3</w:t>
            </w:r>
          </w:p>
        </w:tc>
        <w:tc>
          <w:tcPr>
            <w:tcW w:type="dxa" w:w="2760"/>
            <w:shd w:fill="F7F9FB" w:val="clear"/>
            <w:tcMar>
              <w:top w:type="dxa" w:w="80"/>
              <w:left w:type="dxa" w:w="110"/>
              <w:bottom w:type="dxa" w:w="80"/>
              <w:right w:type="dxa" w:w="110"/>
            </w:tcMar>
          </w:tcPr>
          <w:p>
            <w:pPr>
              <w:spacing w:after="0" w:line="260"/>
            </w:pPr>
            <w:r>
              <w:rPr>
                <w:sz w:val="19"/>
                <w:szCs w:val="19"/>
              </w:rPr>
              <w:t xml:space="preserve">"the authorization server MAY issue a new refresh token"</w:t>
            </w:r>
          </w:p>
        </w:tc>
      </w:tr>
      <w:tr>
        <w:trPr>
          <w:cantSplit/>
        </w:trPr>
        <w:tc>
          <w:tcPr>
            <w:tcW w:type="dxa" w:w="700"/>
            <w:tcMar>
              <w:top w:type="dxa" w:w="80"/>
              <w:left w:type="dxa" w:w="110"/>
              <w:bottom w:type="dxa" w:w="80"/>
              <w:right w:type="dxa" w:w="110"/>
            </w:tcMar>
          </w:tcPr>
          <w:p>
            <w:pPr>
              <w:spacing w:after="0" w:line="260"/>
            </w:pPr>
            <w:r>
              <w:rPr>
                <w:sz w:val="19"/>
                <w:szCs w:val="19"/>
              </w:rPr>
              <w:t xml:space="preserve">C5</w:t>
            </w:r>
          </w:p>
        </w:tc>
        <w:tc>
          <w:tcPr>
            <w:tcW w:type="dxa" w:w="3500"/>
            <w:tcMar>
              <w:top w:type="dxa" w:w="80"/>
              <w:left w:type="dxa" w:w="110"/>
              <w:bottom w:type="dxa" w:w="80"/>
              <w:right w:type="dxa" w:w="110"/>
            </w:tcMar>
          </w:tcPr>
          <w:p>
            <w:pPr>
              <w:spacing w:after="0" w:line="260"/>
            </w:pPr>
            <w:r>
              <w:rPr>
                <w:sz w:val="19"/>
                <w:szCs w:val="19"/>
              </w:rPr>
              <w:t xml:space="preserve">Confidential clients need not authenticate when requesting a token.</w:t>
            </w:r>
          </w:p>
        </w:tc>
        <w:tc>
          <w:tcPr>
            <w:tcW w:type="dxa" w:w="1400"/>
            <w:tcMar>
              <w:top w:type="dxa" w:w="80"/>
              <w:left w:type="dxa" w:w="110"/>
              <w:bottom w:type="dxa" w:w="80"/>
              <w:right w:type="dxa" w:w="110"/>
            </w:tcMar>
          </w:tcPr>
          <w:p>
            <w:pPr>
              <w:spacing w:after="0" w:line="260"/>
            </w:pPr>
            <w:r>
              <w:rPr>
                <w:b/>
                <w:bCs/>
                <w:sz w:val="19"/>
                <w:szCs w:val="19"/>
              </w:rPr>
              <w:t xml:space="preserve">contradicts</w:t>
            </w:r>
          </w:p>
        </w:tc>
        <w:tc>
          <w:tcPr>
            <w:tcW w:type="dxa" w:w="1000"/>
            <w:tcMar>
              <w:top w:type="dxa" w:w="80"/>
              <w:left w:type="dxa" w:w="110"/>
              <w:bottom w:type="dxa" w:w="80"/>
              <w:right w:type="dxa" w:w="110"/>
            </w:tcMar>
          </w:tcPr>
          <w:p>
            <w:pPr>
              <w:spacing w:after="0" w:line="260"/>
            </w:pPr>
            <w:r>
              <w:rPr>
                <w:sz w:val="19"/>
                <w:szCs w:val="19"/>
              </w:rPr>
              <w:t xml:space="preserve">3/3</w:t>
            </w:r>
          </w:p>
        </w:tc>
        <w:tc>
          <w:tcPr>
            <w:tcW w:type="dxa" w:w="2760"/>
            <w:tcMar>
              <w:top w:type="dxa" w:w="80"/>
              <w:left w:type="dxa" w:w="110"/>
              <w:bottom w:type="dxa" w:w="80"/>
              <w:right w:type="dxa" w:w="110"/>
            </w:tcMar>
          </w:tcPr>
          <w:p>
            <w:pPr>
              <w:spacing w:after="0" w:line="260"/>
            </w:pPr>
            <w:r>
              <w:rPr>
                <w:sz w:val="19"/>
                <w:szCs w:val="19"/>
              </w:rPr>
              <w:t xml:space="preserve">"the client requests an access token by authenticating"</w:t>
            </w:r>
          </w:p>
        </w:tc>
      </w:tr>
      <w:tr>
        <w:trPr>
          <w:cantSplit/>
        </w:trPr>
        <w:tc>
          <w:tcPr>
            <w:tcW w:type="dxa" w:w="700"/>
            <w:shd w:fill="F7F9FB" w:val="clear"/>
            <w:tcMar>
              <w:top w:type="dxa" w:w="80"/>
              <w:left w:type="dxa" w:w="110"/>
              <w:bottom w:type="dxa" w:w="80"/>
              <w:right w:type="dxa" w:w="110"/>
            </w:tcMar>
          </w:tcPr>
          <w:p>
            <w:pPr>
              <w:spacing w:after="0" w:line="260"/>
            </w:pPr>
            <w:r>
              <w:rPr>
                <w:sz w:val="19"/>
                <w:szCs w:val="19"/>
              </w:rPr>
              <w:t xml:space="preserve">C6</w:t>
            </w:r>
          </w:p>
        </w:tc>
        <w:tc>
          <w:tcPr>
            <w:tcW w:type="dxa" w:w="3500"/>
            <w:shd w:fill="F7F9FB" w:val="clear"/>
            <w:tcMar>
              <w:top w:type="dxa" w:w="80"/>
              <w:left w:type="dxa" w:w="110"/>
              <w:bottom w:type="dxa" w:w="80"/>
              <w:right w:type="dxa" w:w="110"/>
            </w:tcMar>
          </w:tcPr>
          <w:p>
            <w:pPr>
              <w:spacing w:after="0" w:line="260"/>
            </w:pPr>
            <w:r>
              <w:rPr>
                <w:sz w:val="19"/>
                <w:szCs w:val="19"/>
              </w:rPr>
              <w:t xml:space="preserve">The spec mandates PKCE for public clients.</w:t>
            </w:r>
          </w:p>
        </w:tc>
        <w:tc>
          <w:tcPr>
            <w:tcW w:type="dxa" w:w="1400"/>
            <w:shd w:fill="F7F9FB" w:val="clear"/>
            <w:tcMar>
              <w:top w:type="dxa" w:w="80"/>
              <w:left w:type="dxa" w:w="110"/>
              <w:bottom w:type="dxa" w:w="80"/>
              <w:right w:type="dxa" w:w="110"/>
            </w:tcMar>
          </w:tcPr>
          <w:p>
            <w:pPr>
              <w:spacing w:after="0" w:line="260"/>
            </w:pPr>
            <w:r>
              <w:rPr>
                <w:b/>
                <w:bCs/>
                <w:sz w:val="19"/>
                <w:szCs w:val="19"/>
              </w:rPr>
              <w:t xml:space="preserve">no_evidence</w:t>
            </w:r>
          </w:p>
        </w:tc>
        <w:tc>
          <w:tcPr>
            <w:tcW w:type="dxa" w:w="1000"/>
            <w:shd w:fill="F7F9FB" w:val="clear"/>
            <w:tcMar>
              <w:top w:type="dxa" w:w="80"/>
              <w:left w:type="dxa" w:w="110"/>
              <w:bottom w:type="dxa" w:w="80"/>
              <w:right w:type="dxa" w:w="110"/>
            </w:tcMar>
          </w:tcPr>
          <w:p>
            <w:pPr>
              <w:spacing w:after="0" w:line="260"/>
            </w:pPr>
            <w:r>
              <w:rPr>
                <w:sz w:val="19"/>
                <w:szCs w:val="19"/>
              </w:rPr>
              <w:t xml:space="preserve">3/3</w:t>
            </w:r>
          </w:p>
        </w:tc>
        <w:tc>
          <w:tcPr>
            <w:tcW w:type="dxa" w:w="2760"/>
            <w:shd w:fill="F7F9FB" w:val="clear"/>
            <w:tcMar>
              <w:top w:type="dxa" w:w="80"/>
              <w:left w:type="dxa" w:w="110"/>
              <w:bottom w:type="dxa" w:w="80"/>
              <w:right w:type="dxa" w:w="110"/>
            </w:tcMar>
          </w:tcPr>
          <w:p>
            <w:pPr>
              <w:spacing w:after="0" w:line="260"/>
            </w:pPr>
            <w:r>
              <w:rPr>
                <w:sz w:val="19"/>
                <w:szCs w:val="19"/>
              </w:rPr>
              <w:t xml:space="preserve">PKCE is not mentioned anywhere in the cited passages</w:t>
            </w:r>
          </w:p>
        </w:tc>
      </w:tr>
      <w:tr>
        <w:trPr>
          <w:cantSplit/>
        </w:trPr>
        <w:tc>
          <w:tcPr>
            <w:tcW w:type="dxa" w:w="700"/>
            <w:tcMar>
              <w:top w:type="dxa" w:w="80"/>
              <w:left w:type="dxa" w:w="110"/>
              <w:bottom w:type="dxa" w:w="80"/>
              <w:right w:type="dxa" w:w="110"/>
            </w:tcMar>
          </w:tcPr>
          <w:p>
            <w:pPr>
              <w:spacing w:after="0" w:line="260"/>
            </w:pPr>
            <w:r>
              <w:rPr>
                <w:sz w:val="19"/>
                <w:szCs w:val="19"/>
              </w:rPr>
              <w:t xml:space="preserve">C7</w:t>
            </w:r>
          </w:p>
        </w:tc>
        <w:tc>
          <w:tcPr>
            <w:tcW w:type="dxa" w:w="3500"/>
            <w:tcMar>
              <w:top w:type="dxa" w:w="80"/>
              <w:left w:type="dxa" w:w="110"/>
              <w:bottom w:type="dxa" w:w="80"/>
              <w:right w:type="dxa" w:w="110"/>
            </w:tcMar>
          </w:tcPr>
          <w:p>
            <w:pPr>
              <w:spacing w:after="0" w:line="260"/>
            </w:pPr>
            <w:r>
              <w:rPr>
                <w:sz w:val="19"/>
                <w:szCs w:val="19"/>
              </w:rPr>
              <w:t xml:space="preserve">Access tokens must be encrypted with AES-256 in the response.</w:t>
            </w:r>
          </w:p>
        </w:tc>
        <w:tc>
          <w:tcPr>
            <w:tcW w:type="dxa" w:w="1400"/>
            <w:tcMar>
              <w:top w:type="dxa" w:w="80"/>
              <w:left w:type="dxa" w:w="110"/>
              <w:bottom w:type="dxa" w:w="80"/>
              <w:right w:type="dxa" w:w="110"/>
            </w:tcMar>
          </w:tcPr>
          <w:p>
            <w:pPr>
              <w:spacing w:after="0" w:line="260"/>
            </w:pPr>
            <w:r>
              <w:rPr>
                <w:sz w:val="19"/>
                <w:szCs w:val="19"/>
              </w:rPr>
              <w:t xml:space="preserve">mentions_only</w:t>
            </w:r>
          </w:p>
        </w:tc>
        <w:tc>
          <w:tcPr>
            <w:tcW w:type="dxa" w:w="1000"/>
            <w:tcMar>
              <w:top w:type="dxa" w:w="80"/>
              <w:left w:type="dxa" w:w="110"/>
              <w:bottom w:type="dxa" w:w="80"/>
              <w:right w:type="dxa" w:w="110"/>
            </w:tcMar>
          </w:tcPr>
          <w:p>
            <w:pPr>
              <w:spacing w:after="0" w:line="260"/>
            </w:pPr>
            <w:r>
              <w:rPr>
                <w:sz w:val="19"/>
                <w:szCs w:val="19"/>
              </w:rPr>
              <w:t xml:space="preserve">3/3</w:t>
            </w:r>
          </w:p>
        </w:tc>
        <w:tc>
          <w:tcPr>
            <w:tcW w:type="dxa" w:w="2760"/>
            <w:tcMar>
              <w:top w:type="dxa" w:w="80"/>
              <w:left w:type="dxa" w:w="110"/>
              <w:bottom w:type="dxa" w:w="80"/>
              <w:right w:type="dxa" w:w="110"/>
            </w:tcMar>
          </w:tcPr>
          <w:p>
            <w:pPr>
              <w:spacing w:after="0" w:line="260"/>
            </w:pPr>
            <w:r>
              <w:rPr>
                <w:sz w:val="19"/>
                <w:szCs w:val="19"/>
              </w:rPr>
              <w:t xml:space="preserve">confidentiality/TLS discussed; AES-256 never mentioned</w:t>
            </w:r>
          </w:p>
        </w:tc>
      </w:tr>
      <w:tr>
        <w:trPr>
          <w:cantSplit/>
        </w:trPr>
        <w:tc>
          <w:tcPr>
            <w:tcW w:type="dxa" w:w="700"/>
            <w:shd w:fill="F7F9FB" w:val="clear"/>
            <w:tcMar>
              <w:top w:type="dxa" w:w="80"/>
              <w:left w:type="dxa" w:w="110"/>
              <w:bottom w:type="dxa" w:w="80"/>
              <w:right w:type="dxa" w:w="110"/>
            </w:tcMar>
          </w:tcPr>
          <w:p>
            <w:pPr>
              <w:spacing w:after="0" w:line="260"/>
            </w:pPr>
            <w:r>
              <w:rPr>
                <w:sz w:val="19"/>
                <w:szCs w:val="19"/>
              </w:rPr>
              <w:t xml:space="preserve">C8</w:t>
            </w:r>
          </w:p>
        </w:tc>
        <w:tc>
          <w:tcPr>
            <w:tcW w:type="dxa" w:w="3500"/>
            <w:shd w:fill="F7F9FB" w:val="clear"/>
            <w:tcMar>
              <w:top w:type="dxa" w:w="80"/>
              <w:left w:type="dxa" w:w="110"/>
              <w:bottom w:type="dxa" w:w="80"/>
              <w:right w:type="dxa" w:w="110"/>
            </w:tcMar>
          </w:tcPr>
          <w:p>
            <w:pPr>
              <w:spacing w:after="0" w:line="260"/>
            </w:pPr>
            <w:r>
              <w:rPr>
                <w:sz w:val="19"/>
                <w:szCs w:val="19"/>
              </w:rPr>
              <w:t xml:space="preserve">The authorization code grant requires an authorization code before an access token.</w:t>
            </w:r>
          </w:p>
        </w:tc>
        <w:tc>
          <w:tcPr>
            <w:tcW w:type="dxa" w:w="1400"/>
            <w:shd w:fill="F7F9FB" w:val="clear"/>
            <w:tcMar>
              <w:top w:type="dxa" w:w="80"/>
              <w:left w:type="dxa" w:w="110"/>
              <w:bottom w:type="dxa" w:w="80"/>
              <w:right w:type="dxa" w:w="110"/>
            </w:tcMar>
          </w:tcPr>
          <w:p>
            <w:pPr>
              <w:spacing w:after="0" w:line="260"/>
            </w:pPr>
            <w:r>
              <w:rPr>
                <w:b/>
                <w:bCs/>
                <w:sz w:val="19"/>
                <w:szCs w:val="19"/>
              </w:rPr>
              <w:t xml:space="preserve">entails</w:t>
            </w:r>
          </w:p>
        </w:tc>
        <w:tc>
          <w:tcPr>
            <w:tcW w:type="dxa" w:w="1000"/>
            <w:shd w:fill="F7F9FB" w:val="clear"/>
            <w:tcMar>
              <w:top w:type="dxa" w:w="80"/>
              <w:left w:type="dxa" w:w="110"/>
              <w:bottom w:type="dxa" w:w="80"/>
              <w:right w:type="dxa" w:w="110"/>
            </w:tcMar>
          </w:tcPr>
          <w:p>
            <w:pPr>
              <w:spacing w:after="0" w:line="260"/>
            </w:pPr>
            <w:r>
              <w:rPr>
                <w:sz w:val="19"/>
                <w:szCs w:val="19"/>
              </w:rPr>
              <w:t xml:space="preserve">3/3</w:t>
            </w:r>
          </w:p>
        </w:tc>
        <w:tc>
          <w:tcPr>
            <w:tcW w:type="dxa" w:w="2760"/>
            <w:shd w:fill="F7F9FB" w:val="clear"/>
            <w:tcMar>
              <w:top w:type="dxa" w:w="80"/>
              <w:left w:type="dxa" w:w="110"/>
              <w:bottom w:type="dxa" w:w="80"/>
              <w:right w:type="dxa" w:w="110"/>
            </w:tcMar>
          </w:tcPr>
          <w:p>
            <w:pPr>
              <w:spacing w:after="0" w:line="260"/>
            </w:pPr>
            <w:r>
              <w:rPr>
                <w:sz w:val="19"/>
                <w:szCs w:val="19"/>
              </w:rPr>
              <w:t xml:space="preserve">—</w:t>
            </w:r>
          </w:p>
        </w:tc>
      </w:tr>
    </w:tbl>
    <w:p>
      <w:pPr>
        <w:spacing w:after="160"/>
      </w:pPr>
    </w:p>
    <w:p>
      <w:pPr>
        <w:spacing w:after="140" w:line="300"/>
      </w:pPr>
      <w:r>
        <w:rPr>
          <w:sz w:val="21"/>
          <w:szCs w:val="21"/>
        </w:rPr>
        <w:t xml:space="preserve">C6 is the same shape as the small run's absent-claim case, at real scale: PKCE is a later, separate specification, and the judge correctly found nothing supporting it anywhere in 182 chunks rather than manufacturing a plausible-sounding match. C4 and C5 are the cases this system exists to catch — both stated with confidence, both directly contradicted by a specific sentence, both citations correct.</w:t>
      </w:r>
    </w:p>
    <w:p>
      <w:pPr>
        <w:spacing w:after="140" w:line="300"/>
      </w:pPr>
      <w:r>
        <w:rPr>
          <w:b/>
          <w:bCs/>
          <w:sz w:val="21"/>
          <w:szCs w:val="21"/>
        </w:rPr>
        <w:t xml:space="preserve">Extraction's own honesty about itself is worth quoting directly, because it explains something the claim results don't show on their own:</w:t>
      </w:r>
      <w:r>
        <w:rPr>
          <w:sz w:val="21"/>
          <w:szCs w:val="21"/>
        </w:rPr>
        <w:t xml:space="preserve"> "Read 11 of 24 sections of the document (46%) ... worst is 'http_response' at 8 of 86 chunks (9.3%)." The ontology built from this document only captured a fraction of it — extraction is bounded by a retrieval budget, not by document size. Claim validation is not bounded the same way: each claim's own retrieval searches the full chunk index fresh, independent of what extraction happened to capture. That is why all eight claims above found a real citation despite the ontology behind them being visibly incomplete — the two are different searches over the same document, and only one of them is capped.</w:t>
      </w:r>
    </w:p>
    <w:p>
      <w:pPr>
        <w:spacing w:after="140" w:line="300"/>
      </w:pPr>
      <w:r>
        <w:rPr>
          <w:sz w:val="21"/>
          <w:szCs w:val="21"/>
        </w:rPr>
        <w:t xml:space="preserve">The run took 1200.6 seconds — most of it the census, which reads the document multiple times over for the gap report below, the one part of this pipeline whose cost scales with document size rather than with retrieval.</w:t>
      </w:r>
    </w:p>
    <w:p>
      <w:pPr>
        <w:spacing w:after="140" w:line="300"/>
      </w:pPr>
      <w:r>
        <w:rPr>
          <w:b/>
          <w:bCs/>
          <w:sz w:val="21"/>
          <w:szCs w:val="21"/>
        </w:rPr>
        <w:t xml:space="preserve">The same document and claims were run again afterward with real Anthropic credentials configured, specifically to see whether escalation would trigger here the way it once had on the small document.</w:t>
      </w:r>
      <w:r>
        <w:rPr>
          <w:sz w:val="21"/>
          <w:szCs w:val="21"/>
        </w:rPr>
        <w:t xml:space="preserve"> It reused the cached ontology — 506.6 seconds this time, most of the difference being the extraction this run skipped — and reached the same four judged categories as before: two mentions_only, two entails, two contradicts (C4, C5), one no_evidence. Both contradictions came back unanimous (3/3) again, so nothing qualified for escalation and nothing ran. A null result, reported as one: this claim set on this document simply does not produce the split verdict escalation needs, at least not on the runs observed so far.</w:t>
      </w:r>
    </w:p>
    <w:p>
      <w:pPr>
        <w:spacing w:after="140" w:line="300"/>
      </w:pPr>
      <w:r>
        <w:rPr>
          <w:sz w:val="21"/>
          <w:szCs w:val="21"/>
        </w:rPr>
        <w:t xml:space="preserve">One further thing moved between the two RFC 6749 runs despite everything else matching: concepts_covered in the gap report dropped from 4 to 2. Same cached ontology, same eight claims, same chunk indices cited — only the census's own fresh three-pass read differed, and that alone was enough to flip two concepts (role, parameter) from some coverage to none. The gap report's answer depends on a measurement that moves even when nothing else does.</w:t>
      </w:r>
    </w:p>
    <w:p>
      <w:pPr>
        <w:pStyle w:val="Heading1"/>
        <w:pBdr>
          <w:bottom w:val="single" w:color="C8C8C8" w:sz="6" w:space="6"/>
        </w:pBdr>
        <w:spacing w:after="160" w:before="380"/>
      </w:pPr>
      <w:r>
        <w:rPr>
          <w:b/>
          <w:bCs/>
          <w:color w:val="1F4E79"/>
          <w:sz w:val="30"/>
          <w:szCs w:val="30"/>
        </w:rPr>
        <w:t xml:space="preserve">Two more documents, two different domains</w:t>
      </w:r>
    </w:p>
    <w:p>
      <w:pPr>
        <w:spacing w:after="140" w:line="300"/>
      </w:pPr>
      <w:r>
        <w:rPr>
          <w:sz w:val="21"/>
          <w:szCs w:val="21"/>
        </w:rPr>
        <w:t xml:space="preserve">A commercial services agreement (a contract between two companies, 4 chunks) and a small REST API specification (4 chunks) — neither previously run against this system, both with eight hand-written claims of their own, both with real credentials configured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3260"/>
      </w:tblGrid>
      <w:tr>
        <w:trPr>
          <w:cantSplit/>
          <w:tblHeader/>
        </w:trPr>
        <w:tc>
          <w:tcPr>
            <w:tcW w:type="dxa" w:w="1900"/>
            <w:shd w:fill="1F4E79" w:val="clear"/>
            <w:tcMar>
              <w:top w:type="dxa" w:w="80"/>
              <w:left w:type="dxa" w:w="110"/>
              <w:bottom w:type="dxa" w:w="80"/>
              <w:right w:type="dxa" w:w="110"/>
            </w:tcMar>
          </w:tcPr>
          <w:p>
            <w:pPr>
              <w:spacing w:after="0" w:line="260"/>
            </w:pPr>
            <w:r>
              <w:rPr>
                <w:b/>
                <w:bCs/>
                <w:color w:val="FFFFFF"/>
                <w:sz w:val="19"/>
                <w:szCs w:val="19"/>
              </w:rPr>
              <w:t xml:space="preserve">Document</w:t>
            </w:r>
          </w:p>
        </w:tc>
        <w:tc>
          <w:tcPr>
            <w:tcW w:type="dxa" w:w="2000"/>
            <w:shd w:fill="1F4E79" w:val="clear"/>
            <w:tcMar>
              <w:top w:type="dxa" w:w="80"/>
              <w:left w:type="dxa" w:w="110"/>
              <w:bottom w:type="dxa" w:w="80"/>
              <w:right w:type="dxa" w:w="110"/>
            </w:tcMar>
          </w:tcPr>
          <w:p>
            <w:pPr>
              <w:spacing w:after="0" w:line="260"/>
            </w:pPr>
            <w:r>
              <w:rPr>
                <w:b/>
                <w:bCs/>
                <w:color w:val="FFFFFF"/>
                <w:sz w:val="19"/>
                <w:szCs w:val="19"/>
              </w:rPr>
              <w:t xml:space="preserve">Verdicts</w:t>
            </w:r>
          </w:p>
        </w:tc>
        <w:tc>
          <w:tcPr>
            <w:tcW w:type="dxa" w:w="2200"/>
            <w:shd w:fill="1F4E79" w:val="clear"/>
            <w:tcMar>
              <w:top w:type="dxa" w:w="80"/>
              <w:left w:type="dxa" w:w="110"/>
              <w:bottom w:type="dxa" w:w="80"/>
              <w:right w:type="dxa" w:w="110"/>
            </w:tcMar>
          </w:tcPr>
          <w:p>
            <w:pPr>
              <w:spacing w:after="0" w:line="260"/>
            </w:pPr>
            <w:r>
              <w:rPr>
                <w:b/>
                <w:bCs/>
                <w:color w:val="FFFFFF"/>
                <w:sz w:val="19"/>
                <w:szCs w:val="19"/>
              </w:rPr>
              <w:t xml:space="preserve">Escalation</w:t>
            </w:r>
          </w:p>
        </w:tc>
        <w:tc>
          <w:tcPr>
            <w:tcW w:type="dxa" w:w="3260"/>
            <w:shd w:fill="1F4E79" w:val="clear"/>
            <w:tcMar>
              <w:top w:type="dxa" w:w="80"/>
              <w:left w:type="dxa" w:w="110"/>
              <w:bottom w:type="dxa" w:w="80"/>
              <w:right w:type="dxa" w:w="110"/>
            </w:tcMar>
          </w:tcPr>
          <w:p>
            <w:pPr>
              <w:spacing w:after="0" w:line="260"/>
            </w:pPr>
            <w:r>
              <w:rPr>
                <w:b/>
                <w:bCs/>
                <w:color w:val="FFFFFF"/>
                <w:sz w:val="19"/>
                <w:szCs w:val="19"/>
              </w:rPr>
              <w:t xml:space="preserve">What stood out</w:t>
            </w:r>
          </w:p>
        </w:tc>
      </w:tr>
      <w:tr>
        <w:trPr>
          <w:cantSplit/>
        </w:trPr>
        <w:tc>
          <w:tcPr>
            <w:tcW w:type="dxa" w:w="1900"/>
            <w:tcMar>
              <w:top w:type="dxa" w:w="80"/>
              <w:left w:type="dxa" w:w="110"/>
              <w:bottom w:type="dxa" w:w="80"/>
              <w:right w:type="dxa" w:w="110"/>
            </w:tcMar>
          </w:tcPr>
          <w:p>
            <w:pPr>
              <w:spacing w:after="0" w:line="260"/>
            </w:pPr>
            <w:r>
              <w:rPr>
                <w:sz w:val="19"/>
                <w:szCs w:val="19"/>
              </w:rPr>
              <w:t xml:space="preserve">Services agreement</w:t>
            </w:r>
          </w:p>
        </w:tc>
        <w:tc>
          <w:tcPr>
            <w:tcW w:type="dxa" w:w="2000"/>
            <w:tcMar>
              <w:top w:type="dxa" w:w="80"/>
              <w:left w:type="dxa" w:w="110"/>
              <w:bottom w:type="dxa" w:w="80"/>
              <w:right w:type="dxa" w:w="110"/>
            </w:tcMar>
          </w:tcPr>
          <w:p>
            <w:pPr>
              <w:spacing w:after="0" w:line="260"/>
            </w:pPr>
            <w:r>
              <w:rPr>
                <w:sz w:val="19"/>
                <w:szCs w:val="19"/>
              </w:rPr>
              <w:t xml:space="preserve">3 entailed, 4 contradicted, 1 no_evidence</w:t>
            </w:r>
          </w:p>
        </w:tc>
        <w:tc>
          <w:tcPr>
            <w:tcW w:type="dxa" w:w="2200"/>
            <w:tcMar>
              <w:top w:type="dxa" w:w="80"/>
              <w:left w:type="dxa" w:w="110"/>
              <w:bottom w:type="dxa" w:w="80"/>
              <w:right w:type="dxa" w:w="110"/>
            </w:tcMar>
          </w:tcPr>
          <w:p>
            <w:pPr>
              <w:spacing w:after="0" w:line="260"/>
            </w:pPr>
            <w:r>
              <w:rPr>
                <w:sz w:val="19"/>
                <w:szCs w:val="19"/>
              </w:rPr>
              <w:t xml:space="preserve">none triggered</w:t>
            </w:r>
          </w:p>
        </w:tc>
        <w:tc>
          <w:tcPr>
            <w:tcW w:type="dxa" w:w="3260"/>
            <w:tcMar>
              <w:top w:type="dxa" w:w="80"/>
              <w:left w:type="dxa" w:w="110"/>
              <w:bottom w:type="dxa" w:w="80"/>
              <w:right w:type="dxa" w:w="110"/>
            </w:tcMar>
          </w:tcPr>
          <w:p>
            <w:pPr>
              <w:spacing w:after="0" w:line="260"/>
            </w:pPr>
            <w:r>
              <w:rPr>
                <w:sz w:val="19"/>
                <w:szCs w:val="19"/>
              </w:rPr>
              <w:t xml:space="preserve">correctly contradicted a fabricated "arbitration in Singapore" claim against a document that actually names the English courts</w:t>
            </w:r>
          </w:p>
        </w:tc>
      </w:tr>
      <w:tr>
        <w:trPr>
          <w:cantSplit/>
        </w:trPr>
        <w:tc>
          <w:tcPr>
            <w:tcW w:type="dxa" w:w="1900"/>
            <w:shd w:fill="F7F9FB" w:val="clear"/>
            <w:tcMar>
              <w:top w:type="dxa" w:w="80"/>
              <w:left w:type="dxa" w:w="110"/>
              <w:bottom w:type="dxa" w:w="80"/>
              <w:right w:type="dxa" w:w="110"/>
            </w:tcMar>
          </w:tcPr>
          <w:p>
            <w:pPr>
              <w:spacing w:after="0" w:line="260"/>
            </w:pPr>
            <w:r>
              <w:rPr>
                <w:sz w:val="19"/>
                <w:szCs w:val="19"/>
              </w:rPr>
              <w:t xml:space="preserve">Auth API spec</w:t>
            </w:r>
          </w:p>
        </w:tc>
        <w:tc>
          <w:tcPr>
            <w:tcW w:type="dxa" w:w="2000"/>
            <w:shd w:fill="F7F9FB" w:val="clear"/>
            <w:tcMar>
              <w:top w:type="dxa" w:w="80"/>
              <w:left w:type="dxa" w:w="110"/>
              <w:bottom w:type="dxa" w:w="80"/>
              <w:right w:type="dxa" w:w="110"/>
            </w:tcMar>
          </w:tcPr>
          <w:p>
            <w:pPr>
              <w:spacing w:after="0" w:line="260"/>
            </w:pPr>
            <w:r>
              <w:rPr>
                <w:sz w:val="19"/>
                <w:szCs w:val="19"/>
              </w:rPr>
              <w:t xml:space="preserve">4 entailed, 2 mentions_only, 2 contradicted</w:t>
            </w:r>
          </w:p>
        </w:tc>
        <w:tc>
          <w:tcPr>
            <w:tcW w:type="dxa" w:w="2200"/>
            <w:shd w:fill="F7F9FB" w:val="clear"/>
            <w:tcMar>
              <w:top w:type="dxa" w:w="80"/>
              <w:left w:type="dxa" w:w="110"/>
              <w:bottom w:type="dxa" w:w="80"/>
              <w:right w:type="dxa" w:w="110"/>
            </w:tcMar>
          </w:tcPr>
          <w:p>
            <w:pPr>
              <w:spacing w:after="0" w:line="260"/>
            </w:pPr>
            <w:r>
              <w:rPr>
                <w:sz w:val="19"/>
                <w:szCs w:val="19"/>
              </w:rPr>
              <w:t xml:space="preserve">none triggered</w:t>
            </w:r>
          </w:p>
        </w:tc>
        <w:tc>
          <w:tcPr>
            <w:tcW w:type="dxa" w:w="3260"/>
            <w:shd w:fill="F7F9FB" w:val="clear"/>
            <w:tcMar>
              <w:top w:type="dxa" w:w="80"/>
              <w:left w:type="dxa" w:w="110"/>
              <w:bottom w:type="dxa" w:w="80"/>
              <w:right w:type="dxa" w:w="110"/>
            </w:tcMar>
          </w:tcPr>
          <w:p>
            <w:pPr>
              <w:spacing w:after="0" w:line="260"/>
            </w:pPr>
            <w:r>
              <w:rPr>
                <w:sz w:val="19"/>
                <w:szCs w:val="19"/>
              </w:rPr>
              <w:t xml:space="preserve">gap report showed full coverage (7 of 7 concepts) — likely the same small-document ceiling as the trial protocol, not evidence of unusually thorough claims</w:t>
            </w:r>
          </w:p>
        </w:tc>
      </w:tr>
    </w:tbl>
    <w:p>
      <w:pPr>
        <w:spacing w:after="160"/>
      </w:pPr>
    </w:p>
    <w:p>
      <w:pPr>
        <w:pBdr>
          <w:top w:val="single" w:color="DCE6F0" w:sz="2" w:space="8"/>
          <w:bottom w:val="single" w:color="DCE6F0" w:sz="2" w:space="8"/>
          <w:left w:val="single" w:color="1F4E79" w:sz="18" w:space="10"/>
          <w:right w:val="single" w:color="DCE6F0" w:sz="2" w:space="8"/>
        </w:pBdr>
        <w:shd w:fill="F2F6FA" w:val="clear"/>
        <w:spacing w:after="200" w:before="200" w:line="320"/>
        <w:ind w:left="220" w:right="220"/>
      </w:pPr>
      <w:r>
        <w:rPr>
          <w:b/>
          <w:bCs/>
          <w:sz w:val="21"/>
          <w:szCs w:val="21"/>
        </w:rPr>
        <w:t xml:space="preserve">A real defect in this paper's own claim data, caught by its verdict looking wrong rather than by inspection.</w:t>
      </w:r>
      <w:r>
        <w:rPr>
          <w:sz w:val="21"/>
          <w:szCs w:val="21"/>
        </w:rPr>
        <w:t xml:space="preserve"> One services-agreement claim was written with an unquoted comma — "24 hour, 7 day a week customer support" — which ordinary CSV parsing split into extra fields against a two-column header, silently truncating the claim to "The Supplier must provide 24 hour" before it ever reached the judge. The system did not crash on the fragment; it returned a defensible no_evidence verdict on nonsense text, which is exactly the kind of correct-looking wrong answer that make an underlying data defect easy to miss. Found by checking the reason field against the intended claim, not by reading the CSV. Fixed by quoting the field; the corrected claim reached the same final verdict category for the right reason this time — the document genuinely never discusses support hours.</w:t>
      </w:r>
    </w:p>
    <w:p>
      <w:pPr>
        <w:spacing w:after="140" w:line="300"/>
      </w:pPr>
      <w:r>
        <w:rPr>
          <w:sz w:val="21"/>
          <w:szCs w:val="21"/>
        </w:rPr>
        <w:t xml:space="preserve">The auth API run also hit a real, ordinary infrastructure failure mid-run: a transient 500 from the cloud model during the type judge step, logged and survived rather than taking the extraction down. Nothing about this pipeline assumes every model call succeeds; this is the first live case of that assumption actually being exercised rather than only stated.</w:t>
      </w:r>
    </w:p>
    <w:p>
      <w:pPr>
        <w:pStyle w:val="Heading1"/>
        <w:pBdr>
          <w:bottom w:val="single" w:color="C8C8C8" w:sz="6" w:space="6"/>
        </w:pBdr>
        <w:spacing w:after="160" w:before="380"/>
      </w:pPr>
      <w:r>
        <w:rPr>
          <w:b/>
          <w:bCs/>
          <w:color w:val="1F4E79"/>
          <w:sz w:val="30"/>
          <w:szCs w:val="30"/>
        </w:rPr>
        <w:t xml:space="preserve">The gap report, tested at the scale it needed</w:t>
      </w:r>
    </w:p>
    <w:p>
      <w:pPr>
        <w:spacing w:after="140" w:line="300"/>
      </w:pPr>
      <w:r>
        <w:rPr>
          <w:sz w:val="21"/>
          <w:szCs w:val="21"/>
        </w:rPr>
        <w:t xml:space="preserve">Using a census — an exhaustive, repeated read of every chunk, reported as a range rather than a single count, since repeated censuses of the same document do not agree with each other — as ground truth for what the document actually contains, independent of what any claim happened to 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4060"/>
      </w:tblGrid>
      <w:tr>
        <w:trPr>
          <w:cantSplit/>
          <w:tblHeader/>
        </w:trPr>
        <w:tc>
          <w:tcPr>
            <w:tcW w:type="dxa" w:w="2200"/>
            <w:shd w:fill="1F4E79" w:val="clear"/>
            <w:tcMar>
              <w:top w:type="dxa" w:w="80"/>
              <w:left w:type="dxa" w:w="110"/>
              <w:bottom w:type="dxa" w:w="80"/>
              <w:right w:type="dxa" w:w="110"/>
            </w:tcMar>
          </w:tcPr>
          <w:p>
            <w:pPr>
              <w:spacing w:after="0" w:line="260"/>
            </w:pPr>
            <w:r>
              <w:rPr>
                <w:b/>
                <w:bCs/>
                <w:color w:val="FFFFFF"/>
                <w:sz w:val="19"/>
                <w:szCs w:val="19"/>
              </w:rPr>
              <w:t xml:space="preserve">Concept</w:t>
            </w:r>
          </w:p>
        </w:tc>
        <w:tc>
          <w:tcPr>
            <w:tcW w:type="dxa" w:w="1400"/>
            <w:shd w:fill="1F4E79" w:val="clear"/>
            <w:tcMar>
              <w:top w:type="dxa" w:w="80"/>
              <w:left w:type="dxa" w:w="110"/>
              <w:bottom w:type="dxa" w:w="80"/>
              <w:right w:type="dxa" w:w="110"/>
            </w:tcMar>
          </w:tcPr>
          <w:p>
            <w:pPr>
              <w:spacing w:after="0" w:line="260"/>
            </w:pPr>
            <w:r>
              <w:rPr>
                <w:b/>
                <w:bCs/>
                <w:color w:val="FFFFFF"/>
                <w:sz w:val="19"/>
                <w:szCs w:val="19"/>
              </w:rPr>
              <w:t xml:space="preserve">Census range</w:t>
            </w:r>
          </w:p>
        </w:tc>
        <w:tc>
          <w:tcPr>
            <w:tcW w:type="dxa" w:w="1700"/>
            <w:shd w:fill="1F4E79" w:val="clear"/>
            <w:tcMar>
              <w:top w:type="dxa" w:w="80"/>
              <w:left w:type="dxa" w:w="110"/>
              <w:bottom w:type="dxa" w:w="80"/>
              <w:right w:type="dxa" w:w="110"/>
            </w:tcMar>
          </w:tcPr>
          <w:p>
            <w:pPr>
              <w:spacing w:after="0" w:line="260"/>
            </w:pPr>
            <w:r>
              <w:rPr>
                <w:b/>
                <w:bCs/>
                <w:color w:val="FFFFFF"/>
                <w:sz w:val="19"/>
                <w:szCs w:val="19"/>
              </w:rPr>
              <w:t xml:space="preserve">Addressed</w:t>
            </w:r>
          </w:p>
        </w:tc>
        <w:tc>
          <w:tcPr>
            <w:tcW w:type="dxa" w:w="4060"/>
            <w:shd w:fill="1F4E79" w:val="clear"/>
            <w:tcMar>
              <w:top w:type="dxa" w:w="80"/>
              <w:left w:type="dxa" w:w="110"/>
              <w:bottom w:type="dxa" w:w="80"/>
              <w:right w:type="dxa" w:w="110"/>
            </w:tcMar>
          </w:tcPr>
          <w:p>
            <w:pPr>
              <w:spacing w:after="0" w:line="260"/>
            </w:pPr>
            <w:r>
              <w:rPr>
                <w:b/>
                <w:bCs/>
                <w:color w:val="FFFFFF"/>
                <w:sz w:val="19"/>
                <w:szCs w:val="19"/>
              </w:rPr>
              <w:t xml:space="preserve">Never addressed / note</w:t>
            </w:r>
          </w:p>
        </w:tc>
      </w:tr>
      <w:tr>
        <w:trPr>
          <w:cantSplit/>
        </w:trPr>
        <w:tc>
          <w:tcPr>
            <w:tcW w:type="dxa" w:w="2200"/>
            <w:tcMar>
              <w:top w:type="dxa" w:w="80"/>
              <w:left w:type="dxa" w:w="110"/>
              <w:bottom w:type="dxa" w:w="80"/>
              <w:right w:type="dxa" w:w="110"/>
            </w:tcMar>
          </w:tcPr>
          <w:p>
            <w:pPr>
              <w:spacing w:after="0" w:line="260"/>
            </w:pPr>
            <w:r>
              <w:rPr>
                <w:sz w:val="19"/>
                <w:szCs w:val="19"/>
              </w:rPr>
              <w:t xml:space="preserve">role</w:t>
            </w:r>
          </w:p>
        </w:tc>
        <w:tc>
          <w:tcPr>
            <w:tcW w:type="dxa" w:w="1400"/>
            <w:tcMar>
              <w:top w:type="dxa" w:w="80"/>
              <w:left w:type="dxa" w:w="110"/>
              <w:bottom w:type="dxa" w:w="80"/>
              <w:right w:type="dxa" w:w="110"/>
            </w:tcMar>
          </w:tcPr>
          <w:p>
            <w:pPr>
              <w:spacing w:after="0" w:line="260"/>
            </w:pPr>
            <w:r>
              <w:rPr>
                <w:sz w:val="19"/>
                <w:szCs w:val="19"/>
              </w:rPr>
              <w:t xml:space="preserve">16–19</w:t>
            </w:r>
          </w:p>
        </w:tc>
        <w:tc>
          <w:tcPr>
            <w:tcW w:type="dxa" w:w="1700"/>
            <w:tcMar>
              <w:top w:type="dxa" w:w="80"/>
              <w:left w:type="dxa" w:w="110"/>
              <w:bottom w:type="dxa" w:w="80"/>
              <w:right w:type="dxa" w:w="110"/>
            </w:tcMar>
          </w:tcPr>
          <w:p>
            <w:pPr>
              <w:spacing w:after="0" w:line="260"/>
            </w:pPr>
            <w:r>
              <w:rPr>
                <w:sz w:val="19"/>
                <w:szCs w:val="19"/>
              </w:rPr>
              <w:t xml:space="preserve">1 of ~17</w:t>
            </w:r>
          </w:p>
        </w:tc>
        <w:tc>
          <w:tcPr>
            <w:tcW w:type="dxa" w:w="4060"/>
            <w:tcMar>
              <w:top w:type="dxa" w:w="80"/>
              <w:left w:type="dxa" w:w="110"/>
              <w:bottom w:type="dxa" w:w="80"/>
              <w:right w:type="dxa" w:w="110"/>
            </w:tcMar>
          </w:tcPr>
          <w:p>
            <w:pPr>
              <w:spacing w:after="0" w:line="260"/>
            </w:pPr>
            <w:r>
              <w:rPr>
                <w:sz w:val="19"/>
                <w:szCs w:val="19"/>
              </w:rPr>
              <w:t xml:space="preserve">authorization_server, client, resource_owner, user_agent, and 12 more</w:t>
            </w:r>
          </w:p>
        </w:tc>
      </w:tr>
      <w:tr>
        <w:trPr>
          <w:cantSplit/>
        </w:trPr>
        <w:tc>
          <w:tcPr>
            <w:tcW w:type="dxa" w:w="2200"/>
            <w:shd w:fill="F7F9FB" w:val="clear"/>
            <w:tcMar>
              <w:top w:type="dxa" w:w="80"/>
              <w:left w:type="dxa" w:w="110"/>
              <w:bottom w:type="dxa" w:w="80"/>
              <w:right w:type="dxa" w:w="110"/>
            </w:tcMar>
          </w:tcPr>
          <w:p>
            <w:pPr>
              <w:spacing w:after="0" w:line="260"/>
            </w:pPr>
            <w:r>
              <w:rPr>
                <w:sz w:val="19"/>
                <w:szCs w:val="19"/>
              </w:rPr>
              <w:t xml:space="preserve">grant_type</w:t>
            </w:r>
          </w:p>
        </w:tc>
        <w:tc>
          <w:tcPr>
            <w:tcW w:type="dxa" w:w="1400"/>
            <w:shd w:fill="F7F9FB" w:val="clear"/>
            <w:tcMar>
              <w:top w:type="dxa" w:w="80"/>
              <w:left w:type="dxa" w:w="110"/>
              <w:bottom w:type="dxa" w:w="80"/>
              <w:right w:type="dxa" w:w="110"/>
            </w:tcMar>
          </w:tcPr>
          <w:p>
            <w:pPr>
              <w:spacing w:after="0" w:line="260"/>
            </w:pPr>
            <w:r>
              <w:rPr>
                <w:sz w:val="19"/>
                <w:szCs w:val="19"/>
              </w:rPr>
              <w:t xml:space="preserve">13–19</w:t>
            </w:r>
          </w:p>
        </w:tc>
        <w:tc>
          <w:tcPr>
            <w:tcW w:type="dxa" w:w="1700"/>
            <w:shd w:fill="F7F9FB" w:val="clear"/>
            <w:tcMar>
              <w:top w:type="dxa" w:w="80"/>
              <w:left w:type="dxa" w:w="110"/>
              <w:bottom w:type="dxa" w:w="80"/>
              <w:right w:type="dxa" w:w="110"/>
            </w:tcMar>
          </w:tcPr>
          <w:p>
            <w:pPr>
              <w:spacing w:after="0" w:line="260"/>
            </w:pPr>
            <w:r>
              <w:rPr>
                <w:sz w:val="19"/>
                <w:szCs w:val="19"/>
              </w:rPr>
              <w:t xml:space="preserve">5 of ~16</w:t>
            </w:r>
          </w:p>
        </w:tc>
        <w:tc>
          <w:tcPr>
            <w:tcW w:type="dxa" w:w="4060"/>
            <w:shd w:fill="F7F9FB" w:val="clear"/>
            <w:tcMar>
              <w:top w:type="dxa" w:w="80"/>
              <w:left w:type="dxa" w:w="110"/>
              <w:bottom w:type="dxa" w:w="80"/>
              <w:right w:type="dxa" w:w="110"/>
            </w:tcMar>
          </w:tcPr>
          <w:p>
            <w:pPr>
              <w:spacing w:after="0" w:line="260"/>
            </w:pPr>
            <w:r>
              <w:rPr>
                <w:sz w:val="19"/>
                <w:szCs w:val="19"/>
              </w:rPr>
              <w:t xml:space="preserve">refresh_token, password, implicit_grant, saml2_bearer, and 7 more</w:t>
            </w:r>
          </w:p>
        </w:tc>
      </w:tr>
      <w:tr>
        <w:trPr>
          <w:cantSplit/>
        </w:trPr>
        <w:tc>
          <w:tcPr>
            <w:tcW w:type="dxa" w:w="2200"/>
            <w:tcMar>
              <w:top w:type="dxa" w:w="80"/>
              <w:left w:type="dxa" w:w="110"/>
              <w:bottom w:type="dxa" w:w="80"/>
              <w:right w:type="dxa" w:w="110"/>
            </w:tcMar>
          </w:tcPr>
          <w:p>
            <w:pPr>
              <w:spacing w:after="0" w:line="260"/>
            </w:pPr>
            <w:r>
              <w:rPr>
                <w:sz w:val="19"/>
                <w:szCs w:val="19"/>
              </w:rPr>
              <w:t xml:space="preserve">error_code</w:t>
            </w:r>
          </w:p>
        </w:tc>
        <w:tc>
          <w:tcPr>
            <w:tcW w:type="dxa" w:w="1400"/>
            <w:tcMar>
              <w:top w:type="dxa" w:w="80"/>
              <w:left w:type="dxa" w:w="110"/>
              <w:bottom w:type="dxa" w:w="80"/>
              <w:right w:type="dxa" w:w="110"/>
            </w:tcMar>
          </w:tcPr>
          <w:p>
            <w:pPr>
              <w:spacing w:after="0" w:line="260"/>
            </w:pPr>
            <w:r>
              <w:rPr>
                <w:sz w:val="19"/>
                <w:szCs w:val="19"/>
              </w:rPr>
              <w:t xml:space="preserve">12–18</w:t>
            </w:r>
          </w:p>
        </w:tc>
        <w:tc>
          <w:tcPr>
            <w:tcW w:type="dxa" w:w="1700"/>
            <w:tcMar>
              <w:top w:type="dxa" w:w="80"/>
              <w:left w:type="dxa" w:w="110"/>
              <w:bottom w:type="dxa" w:w="80"/>
              <w:right w:type="dxa" w:w="110"/>
            </w:tcMar>
          </w:tcPr>
          <w:p>
            <w:pPr>
              <w:spacing w:after="0" w:line="260"/>
            </w:pPr>
            <w:r>
              <w:rPr>
                <w:sz w:val="19"/>
                <w:szCs w:val="19"/>
              </w:rPr>
              <w:t xml:space="preserve">8 of ~13</w:t>
            </w:r>
          </w:p>
        </w:tc>
        <w:tc>
          <w:tcPr>
            <w:tcW w:type="dxa" w:w="4060"/>
            <w:tcMar>
              <w:top w:type="dxa" w:w="80"/>
              <w:left w:type="dxa" w:w="110"/>
              <w:bottom w:type="dxa" w:w="80"/>
              <w:right w:type="dxa" w:w="110"/>
            </w:tcMar>
          </w:tcPr>
          <w:p>
            <w:pPr>
              <w:spacing w:after="0" w:line="260"/>
            </w:pPr>
            <w:r>
              <w:rPr>
                <w:sz w:val="19"/>
                <w:szCs w:val="19"/>
              </w:rPr>
              <w:t xml:space="preserve">best coverage — error, invalid_scope, unsupported_grant_type, 2 more</w:t>
            </w:r>
          </w:p>
        </w:tc>
      </w:tr>
      <w:tr>
        <w:trPr>
          <w:cantSplit/>
        </w:trPr>
        <w:tc>
          <w:tcPr>
            <w:tcW w:type="dxa" w:w="2200"/>
            <w:shd w:fill="F7F9FB" w:val="clear"/>
            <w:tcMar>
              <w:top w:type="dxa" w:w="80"/>
              <w:left w:type="dxa" w:w="110"/>
              <w:bottom w:type="dxa" w:w="80"/>
              <w:right w:type="dxa" w:w="110"/>
            </w:tcMar>
          </w:tcPr>
          <w:p>
            <w:pPr>
              <w:spacing w:after="0" w:line="260"/>
            </w:pPr>
            <w:r>
              <w:rPr>
                <w:b/>
                <w:bCs/>
                <w:sz w:val="19"/>
                <w:szCs w:val="19"/>
              </w:rPr>
              <w:t xml:space="preserve">token</w:t>
            </w:r>
          </w:p>
        </w:tc>
        <w:tc>
          <w:tcPr>
            <w:tcW w:type="dxa" w:w="1400"/>
            <w:shd w:fill="F7F9FB" w:val="clear"/>
            <w:tcMar>
              <w:top w:type="dxa" w:w="80"/>
              <w:left w:type="dxa" w:w="110"/>
              <w:bottom w:type="dxa" w:w="80"/>
              <w:right w:type="dxa" w:w="110"/>
            </w:tcMar>
          </w:tcPr>
          <w:p>
            <w:pPr>
              <w:spacing w:after="0" w:line="260"/>
            </w:pPr>
            <w:r>
              <w:rPr>
                <w:sz w:val="19"/>
                <w:szCs w:val="19"/>
              </w:rPr>
              <w:t xml:space="preserve">7–9</w:t>
            </w:r>
          </w:p>
        </w:tc>
        <w:tc>
          <w:tcPr>
            <w:tcW w:type="dxa" w:w="1700"/>
            <w:shd w:fill="F7F9FB" w:val="clear"/>
            <w:tcMar>
              <w:top w:type="dxa" w:w="80"/>
              <w:left w:type="dxa" w:w="110"/>
              <w:bottom w:type="dxa" w:w="80"/>
              <w:right w:type="dxa" w:w="110"/>
            </w:tcMar>
          </w:tcPr>
          <w:p>
            <w:pPr>
              <w:spacing w:after="0" w:line="260"/>
            </w:pPr>
            <w:r>
              <w:rPr>
                <w:b/>
                <w:bCs/>
                <w:sz w:val="19"/>
                <w:szCs w:val="19"/>
              </w:rPr>
              <w:t xml:space="preserve">0 of ~8</w:t>
            </w:r>
          </w:p>
        </w:tc>
        <w:tc>
          <w:tcPr>
            <w:tcW w:type="dxa" w:w="4060"/>
            <w:shd w:fill="F7F9FB" w:val="clear"/>
            <w:tcMar>
              <w:top w:type="dxa" w:w="80"/>
              <w:left w:type="dxa" w:w="110"/>
              <w:bottom w:type="dxa" w:w="80"/>
              <w:right w:type="dxa" w:w="110"/>
            </w:tcMar>
          </w:tcPr>
          <w:p>
            <w:pPr>
              <w:spacing w:after="0" w:line="260"/>
            </w:pPr>
            <w:r>
              <w:rPr>
                <w:sz w:val="19"/>
                <w:szCs w:val="19"/>
              </w:rPr>
              <w:t xml:space="preserve">access_token, refresh_token, bearer_token, mac_token, authorization_code — despite two claims (C4, C7) directly about tokens</w:t>
            </w:r>
          </w:p>
        </w:tc>
      </w:tr>
      <w:tr>
        <w:trPr>
          <w:cantSplit/>
        </w:trPr>
        <w:tc>
          <w:tcPr>
            <w:tcW w:type="dxa" w:w="2200"/>
            <w:tcMar>
              <w:top w:type="dxa" w:w="80"/>
              <w:left w:type="dxa" w:w="110"/>
              <w:bottom w:type="dxa" w:w="80"/>
              <w:right w:type="dxa" w:w="110"/>
            </w:tcMar>
          </w:tcPr>
          <w:p>
            <w:pPr>
              <w:spacing w:after="0" w:line="260"/>
            </w:pPr>
            <w:r>
              <w:rPr>
                <w:sz w:val="19"/>
                <w:szCs w:val="19"/>
              </w:rPr>
              <w:t xml:space="preserve">parameter</w:t>
            </w:r>
          </w:p>
        </w:tc>
        <w:tc>
          <w:tcPr>
            <w:tcW w:type="dxa" w:w="1400"/>
            <w:tcMar>
              <w:top w:type="dxa" w:w="80"/>
              <w:left w:type="dxa" w:w="110"/>
              <w:bottom w:type="dxa" w:w="80"/>
              <w:right w:type="dxa" w:w="110"/>
            </w:tcMar>
          </w:tcPr>
          <w:p>
            <w:pPr>
              <w:spacing w:after="0" w:line="260"/>
            </w:pPr>
            <w:r>
              <w:rPr>
                <w:sz w:val="19"/>
                <w:szCs w:val="19"/>
              </w:rPr>
              <w:t xml:space="preserve">21–31</w:t>
            </w:r>
          </w:p>
        </w:tc>
        <w:tc>
          <w:tcPr>
            <w:tcW w:type="dxa" w:w="1700"/>
            <w:tcMar>
              <w:top w:type="dxa" w:w="80"/>
              <w:left w:type="dxa" w:w="110"/>
              <w:bottom w:type="dxa" w:w="80"/>
              <w:right w:type="dxa" w:w="110"/>
            </w:tcMar>
          </w:tcPr>
          <w:p>
            <w:pPr>
              <w:spacing w:after="0" w:line="260"/>
            </w:pPr>
            <w:r>
              <w:rPr>
                <w:sz w:val="19"/>
                <w:szCs w:val="19"/>
              </w:rPr>
              <w:t xml:space="preserve">3 of ~26</w:t>
            </w:r>
          </w:p>
        </w:tc>
        <w:tc>
          <w:tcPr>
            <w:tcW w:type="dxa" w:w="4060"/>
            <w:tcMar>
              <w:top w:type="dxa" w:w="80"/>
              <w:left w:type="dxa" w:w="110"/>
              <w:bottom w:type="dxa" w:w="80"/>
              <w:right w:type="dxa" w:w="110"/>
            </w:tcMar>
          </w:tcPr>
          <w:p>
            <w:pPr>
              <w:spacing w:after="0" w:line="260"/>
            </w:pPr>
            <w:r>
              <w:rPr>
                <w:sz w:val="19"/>
                <w:szCs w:val="19"/>
              </w:rPr>
              <w:t xml:space="preserve">the widest spread of any concept this run — real census instability at this scale</w:t>
            </w:r>
          </w:p>
        </w:tc>
      </w:tr>
      <w:tr>
        <w:trPr>
          <w:cantSplit/>
        </w:trPr>
        <w:tc>
          <w:tcPr>
            <w:tcW w:type="dxa" w:w="2200"/>
            <w:shd w:fill="F7F9FB" w:val="clear"/>
            <w:tcMar>
              <w:top w:type="dxa" w:w="80"/>
              <w:left w:type="dxa" w:w="110"/>
              <w:bottom w:type="dxa" w:w="80"/>
              <w:right w:type="dxa" w:w="110"/>
            </w:tcMar>
          </w:tcPr>
          <w:p>
            <w:pPr>
              <w:spacing w:after="0" w:line="260"/>
            </w:pPr>
            <w:r>
              <w:rPr>
                <w:b/>
                <w:bCs/>
                <w:sz w:val="19"/>
                <w:szCs w:val="19"/>
              </w:rPr>
              <w:t xml:space="preserve">http_response</w:t>
            </w:r>
          </w:p>
        </w:tc>
        <w:tc>
          <w:tcPr>
            <w:tcW w:type="dxa" w:w="1400"/>
            <w:shd w:fill="F7F9FB" w:val="clear"/>
            <w:tcMar>
              <w:top w:type="dxa" w:w="80"/>
              <w:left w:type="dxa" w:w="110"/>
              <w:bottom w:type="dxa" w:w="80"/>
              <w:right w:type="dxa" w:w="110"/>
            </w:tcMar>
          </w:tcPr>
          <w:p>
            <w:pPr>
              <w:spacing w:after="0" w:line="260"/>
            </w:pPr>
            <w:r>
              <w:rPr>
                <w:sz w:val="19"/>
                <w:szCs w:val="19"/>
              </w:rPr>
              <w:t xml:space="preserve">13–22</w:t>
            </w:r>
          </w:p>
        </w:tc>
        <w:tc>
          <w:tcPr>
            <w:tcW w:type="dxa" w:w="1700"/>
            <w:shd w:fill="F7F9FB" w:val="clear"/>
            <w:tcMar>
              <w:top w:type="dxa" w:w="80"/>
              <w:left w:type="dxa" w:w="110"/>
              <w:bottom w:type="dxa" w:w="80"/>
              <w:right w:type="dxa" w:w="110"/>
            </w:tcMar>
          </w:tcPr>
          <w:p>
            <w:pPr>
              <w:spacing w:after="0" w:line="260"/>
            </w:pPr>
            <w:r>
              <w:rPr>
                <w:b/>
                <w:bCs/>
                <w:sz w:val="19"/>
                <w:szCs w:val="19"/>
              </w:rPr>
              <w:t xml:space="preserve">0 of ~17</w:t>
            </w:r>
          </w:p>
        </w:tc>
        <w:tc>
          <w:tcPr>
            <w:tcW w:type="dxa" w:w="4060"/>
            <w:shd w:fill="F7F9FB" w:val="clear"/>
            <w:tcMar>
              <w:top w:type="dxa" w:w="80"/>
              <w:left w:type="dxa" w:w="110"/>
              <w:bottom w:type="dxa" w:w="80"/>
              <w:right w:type="dxa" w:w="110"/>
            </w:tcMar>
          </w:tcPr>
          <w:p>
            <w:pPr>
              <w:spacing w:after="0" w:line="260"/>
            </w:pPr>
            <w:r>
              <w:rPr>
                <w:sz w:val="19"/>
                <w:szCs w:val="19"/>
              </w:rPr>
              <w:t xml:space="preserve">despite C2 being specifically about a 302 redirect</w:t>
            </w:r>
          </w:p>
        </w:tc>
      </w:tr>
    </w:tbl>
    <w:p>
      <w:pPr>
        <w:spacing w:after="160"/>
      </w:pPr>
    </w:p>
    <w:p>
      <w:pPr>
        <w:spacing w:after="140" w:line="300"/>
      </w:pPr>
      <w:r>
        <w:rPr>
          <w:b/>
          <w:bCs/>
          <w:sz w:val="21"/>
          <w:szCs w:val="21"/>
        </w:rPr>
        <w:t xml:space="preserve">token and http_response at zero, despite claims that plainly discuss both, is the finding this larger run was run to surface.</w:t>
      </w:r>
      <w:r>
        <w:rPr>
          <w:sz w:val="21"/>
          <w:szCs w:val="21"/>
        </w:rPr>
        <w:t xml:space="preserve"> "Addressed" is computed at the chunk level: a concept instance counts only if the census verified it in a chunk some claim's own citation also touched. A claim can be genuinely, humanly about tokens without its retrieval happening to land on the exact chunk where the census anchored a specific named token instance — at 182 chunks, with the census and a claim's retrieval running as two independent searches, that gap is real rather than a formatting artefact. On the 3-chunk document this could not even arise; at this scale it is the report's most honest and most limiting property, found by running it here rather than assumed from the design.</w:t>
      </w:r>
    </w:p>
    <w:p>
      <w:pPr>
        <w:spacing w:after="140" w:line="300"/>
      </w:pPr>
      <w:r>
        <w:rPr>
          <w:sz w:val="21"/>
          <w:szCs w:val="21"/>
        </w:rPr>
        <w:t xml:space="preserve">parameter's 21–31 spread is worth its own note: the same census instability measured on the small document's treatment_regimen concept (1–3, one run earlier) reappears here, wider, on a completely different concept in a completely different document. Two independent examples now, not one — the same finding, reproduced rather than asserted from a single run.</w:t>
      </w:r>
    </w:p>
    <w:p>
      <w:pPr>
        <w:pStyle w:val="Heading2"/>
        <w:spacing w:after="120" w:before="260"/>
      </w:pPr>
      <w:r>
        <w:rPr>
          <w:b/>
          <w:bCs/>
          <w:color w:val="2E2E2E"/>
          <w:sz w:val="24"/>
          <w:szCs w:val="24"/>
        </w:rPr>
        <w:t xml:space="preserve">A second, different way the same number can undercount</w:t>
      </w:r>
    </w:p>
    <w:p>
      <w:pPr>
        <w:spacing w:after="140" w:line="300"/>
      </w:pPr>
      <w:r>
        <w:rPr>
          <w:sz w:val="21"/>
          <w:szCs w:val="21"/>
        </w:rPr>
        <w:t xml:space="preserve">The services agreement's gap report looked, at first, like the same token/http_response story again: concepts_covered came back 1 of 8, despite claims plainly discussing liability, confidentiality, termination and governing law. But the mechanism was not the same. Every one of the eight claims' retrieval touched all four chunks of this document — there was no chunk left over to miss. The census still could not confirm which chunk several single-instance concepts (initial_term, confidentiality_clause, termination_clause) actually live in, so their chunk citation is simply absent rather than pointing somewhere a claim didn't reach — and an absent citation can never register as "addressed", regardless of what any claim cited.</w:t>
      </w:r>
    </w:p>
    <w:p>
      <w:pPr>
        <w:pBdr>
          <w:top w:val="single" w:color="DCE6F0" w:sz="2" w:space="8"/>
          <w:bottom w:val="single" w:color="DCE6F0" w:sz="2" w:space="8"/>
          <w:left w:val="single" w:color="1F4E79" w:sz="18" w:space="10"/>
          <w:right w:val="single" w:color="DCE6F0" w:sz="2" w:space="8"/>
        </w:pBdr>
        <w:shd w:fill="F2F6FA" w:val="clear"/>
        <w:spacing w:after="200" w:before="200" w:line="320"/>
        <w:ind w:left="220" w:right="220"/>
      </w:pPr>
      <w:r>
        <w:rPr>
          <w:b/>
          <w:bCs/>
          <w:sz w:val="21"/>
          <w:szCs w:val="21"/>
        </w:rPr>
        <w:t xml:space="preserve">Two distinct honest reasons for the same symptom, not one.</w:t>
      </w:r>
      <w:r>
        <w:rPr>
          <w:sz w:val="21"/>
          <w:szCs w:val="21"/>
        </w:rPr>
        <w:t xml:space="preserve"> RFC 6749's token and http_response concepts went uncounted because claims and census disagreed about which of many chunks mattered — a chunk-coincidence problem that gets worse as a document gets larger and more chunks exist to miss. The services agreement's concepts went uncounted because the census could not pin a location down at all — a citation-verification problem that has nothing to do with document size and showed up on the smallest document tested. Fixing one would not fix the other.</w:t>
      </w:r>
    </w:p>
    <w:p>
      <w:pPr>
        <w:spacing w:after="140" w:line="300"/>
      </w:pPr>
      <w:r>
        <w:rPr>
          <w:sz w:val="21"/>
          <w:szCs w:val="21"/>
        </w:rPr>
        <w:t xml:space="preserve">The auth API spec's gap report is the useful contrast: 7 of 7 concepts fully covered, every citation the census made apparently landing where a claim's retrieval also reached. Same small size as the services agreement, same 4 chunks, opposite result — which is itself the point. "Small document" does not predict which of these two failure modes shows up, or whether either does at all.</w:t>
      </w:r>
    </w:p>
    <w:p>
      <w:pPr>
        <w:pStyle w:val="Heading1"/>
        <w:pBdr>
          <w:bottom w:val="single" w:color="C8C8C8" w:sz="6" w:space="6"/>
        </w:pBdr>
        <w:spacing w:after="160" w:before="380"/>
      </w:pPr>
      <w:r>
        <w:rPr>
          <w:b/>
          <w:bCs/>
          <w:color w:val="1F4E79"/>
          <w:sz w:val="30"/>
          <w:szCs w:val="30"/>
        </w:rPr>
        <w:t xml:space="preserve">The report, extended to explain itself</w:t>
      </w:r>
    </w:p>
    <w:p>
      <w:pPr>
        <w:spacing w:after="140" w:line="300"/>
      </w:pPr>
      <w:r>
        <w:rPr>
          <w:sz w:val="21"/>
          <w:szCs w:val="21"/>
        </w:rPr>
        <w:t xml:space="preserve">Two additions, plus one defect the second one found while being written.</w:t>
      </w:r>
    </w:p>
    <w:p>
      <w:pPr>
        <w:pStyle w:val="ListParagraph"/>
        <w:numPr>
          <w:ilvl w:val="0"/>
          <w:numId w:val="2"/>
        </w:numPr>
        <w:spacing w:after="90" w:line="300"/>
      </w:pPr>
      <w:r>
        <w:rPr>
          <w:sz w:val="21"/>
          <w:szCs w:val="21"/>
        </w:rPr>
        <w:t xml:space="preserve">A Shape checks tab, broken out from the Claims tab: one row per claim, pass or violation, with the reason. The shape check and the judge run independently — a claim can fail the shape check and still receive a real judge verdict on the same row, and the two questions (can this be acted on at all, versus is it true) are now visibly separate rather than folded into one column.</w:t>
      </w:r>
    </w:p>
    <w:p>
      <w:pPr>
        <w:pStyle w:val="ListParagraph"/>
        <w:numPr>
          <w:ilvl w:val="0"/>
          <w:numId w:val="2"/>
        </w:numPr>
        <w:spacing w:after="90" w:line="300"/>
      </w:pPr>
      <w:r>
        <w:rPr>
          <w:sz w:val="21"/>
          <w:szCs w:val="21"/>
        </w:rPr>
        <w:t xml:space="preserve">The Claims tab's Quality classification (Quality / Human check / Incorrect) is now a visible column, not only a cell colour — the same three-way read this report has always computed, now legible in the exported data itself.</w:t>
      </w:r>
    </w:p>
    <w:p>
      <w:pPr>
        <w:pStyle w:val="ListParagraph"/>
        <w:numPr>
          <w:ilvl w:val="0"/>
          <w:numId w:val="2"/>
        </w:numPr>
        <w:spacing w:after="90" w:line="300"/>
      </w:pPr>
      <w:r>
        <w:rPr>
          <w:sz w:val="21"/>
          <w:szCs w:val="21"/>
        </w:rPr>
        <w:t xml:space="preserve">The Quality tab was rewritten to explain every metric in place: what it measures, how to read it, and what a good value looks like — sixteen metrics, none left as a bare number with no way to know if it's good or bad.</w:t>
      </w:r>
    </w:p>
    <w:p>
      <w:pPr>
        <w:pBdr>
          <w:top w:val="single" w:color="DCE6F0" w:sz="2" w:space="8"/>
          <w:bottom w:val="single" w:color="DCE6F0" w:sz="2" w:space="8"/>
          <w:left w:val="single" w:color="1F4E79" w:sz="18" w:space="10"/>
          <w:right w:val="single" w:color="DCE6F0" w:sz="2" w:space="8"/>
        </w:pBdr>
        <w:shd w:fill="F2F6FA" w:val="clear"/>
        <w:spacing w:after="200" w:before="200" w:line="320"/>
        <w:ind w:left="220" w:right="220"/>
      </w:pPr>
      <w:r>
        <w:rPr>
          <w:b/>
          <w:bCs/>
          <w:sz w:val="21"/>
          <w:szCs w:val="21"/>
        </w:rPr>
        <w:t xml:space="preserve">Writing that last explanation surfaced a real defect, not a hypothetical one.</w:t>
      </w:r>
      <w:r>
        <w:rPr>
          <w:sz w:val="21"/>
          <w:szCs w:val="21"/>
        </w:rPr>
        <w:t xml:space="preserve"> A metric called escalated read as 0 whether escalation was never triggered, or was triggered and failed every single time — the small document's own run above is a real example of the second case, invisible in that one number. Fixed by adding a second metric, escalation_failed_batches, so the two states — nothing needed escalation, versus escalation was attempted and never completed — are distinguishable rather than both collapsing to the same silent zero.</w:t>
      </w:r>
    </w:p>
    <w:p>
      <w:pPr>
        <w:pStyle w:val="Heading1"/>
        <w:pBdr>
          <w:bottom w:val="single" w:color="C8C8C8" w:sz="6" w:space="6"/>
        </w:pBdr>
        <w:spacing w:after="160" w:before="380"/>
      </w:pPr>
      <w:r>
        <w:rPr>
          <w:b/>
          <w:bCs/>
          <w:color w:val="1F4E79"/>
          <w:sz w:val="30"/>
          <w:szCs w:val="30"/>
        </w:rPr>
        <w:t xml:space="preserve">What these four documents establish, and what is 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4E79" w:val="clear"/>
            <w:tcMar>
              <w:top w:type="dxa" w:w="80"/>
              <w:left w:type="dxa" w:w="110"/>
              <w:bottom w:type="dxa" w:w="80"/>
              <w:right w:type="dxa" w:w="110"/>
            </w:tcMar>
          </w:tcPr>
          <w:p>
            <w:pPr>
              <w:spacing w:after="0" w:line="260"/>
            </w:pPr>
            <w:r>
              <w:rPr>
                <w:b/>
                <w:bCs/>
                <w:color w:val="FFFFFF"/>
                <w:sz w:val="19"/>
                <w:szCs w:val="19"/>
              </w:rPr>
              <w:t xml:space="preserve">Established</w:t>
            </w:r>
          </w:p>
        </w:tc>
        <w:tc>
          <w:tcPr>
            <w:tcW w:type="dxa" w:w="5960"/>
            <w:shd w:fill="1F4E79" w:val="clear"/>
            <w:tcMar>
              <w:top w:type="dxa" w:w="80"/>
              <w:left w:type="dxa" w:w="110"/>
              <w:bottom w:type="dxa" w:w="80"/>
              <w:right w:type="dxa" w:w="110"/>
            </w:tcMar>
          </w:tcPr>
          <w:p>
            <w:pPr>
              <w:spacing w:after="0" w:line="260"/>
            </w:pPr>
            <w:r>
              <w:rPr>
                <w:b/>
                <w:bCs/>
                <w:color w:val="FFFFFF"/>
                <w:sz w:val="19"/>
                <w:szCs w:val="19"/>
              </w:rPr>
              <w:t xml:space="preserve">Still open</w:t>
            </w:r>
          </w:p>
        </w:tc>
      </w:tr>
      <w:tr>
        <w:trPr>
          <w:cantSplit/>
        </w:trPr>
        <w:tc>
          <w:tcPr>
            <w:tcW w:type="dxa" w:w="3400"/>
            <w:tcMar>
              <w:top w:type="dxa" w:w="80"/>
              <w:left w:type="dxa" w:w="110"/>
              <w:bottom w:type="dxa" w:w="80"/>
              <w:right w:type="dxa" w:w="110"/>
            </w:tcMar>
          </w:tcPr>
          <w:p>
            <w:pPr>
              <w:spacing w:after="0" w:line="260"/>
            </w:pPr>
            <w:r>
              <w:rPr>
                <w:sz w:val="19"/>
                <w:szCs w:val="19"/>
              </w:rPr>
              <w:t xml:space="preserve">Citations are real across all four documents — every verdict quotes text actually in the document</w:t>
            </w:r>
          </w:p>
        </w:tc>
        <w:tc>
          <w:tcPr>
            <w:tcW w:type="dxa" w:w="5960"/>
            <w:tcMar>
              <w:top w:type="dxa" w:w="80"/>
              <w:left w:type="dxa" w:w="110"/>
              <w:bottom w:type="dxa" w:w="80"/>
              <w:right w:type="dxa" w:w="110"/>
            </w:tcMar>
          </w:tcPr>
          <w:p>
            <w:pPr>
              <w:spacing w:after="0" w:line="260"/>
            </w:pPr>
            <w:r>
              <w:rPr>
                <w:sz w:val="19"/>
                <w:szCs w:val="19"/>
              </w:rPr>
              <w:t xml:space="preserve">Escalation has completed once (confirmed) and failed to trigger once more (RFC 6749, real credentials) — whether it ever overturns anything on this pipeline is still unmeasured</w:t>
            </w:r>
          </w:p>
        </w:tc>
      </w:tr>
      <w:tr>
        <w:trPr>
          <w:cantSplit/>
        </w:trPr>
        <w:tc>
          <w:tcPr>
            <w:tcW w:type="dxa" w:w="3400"/>
            <w:shd w:fill="F7F9FB" w:val="clear"/>
            <w:tcMar>
              <w:top w:type="dxa" w:w="80"/>
              <w:left w:type="dxa" w:w="110"/>
              <w:bottom w:type="dxa" w:w="80"/>
              <w:right w:type="dxa" w:w="110"/>
            </w:tcMar>
          </w:tcPr>
          <w:p>
            <w:pPr>
              <w:spacing w:after="0" w:line="260"/>
            </w:pPr>
            <w:r>
              <w:rPr>
                <w:sz w:val="19"/>
                <w:szCs w:val="19"/>
              </w:rPr>
              <w:t xml:space="preserve">The judge distinguishes contradicts from mentions_only on genuinely subtle cases, and catches fabricated claims (PKCE, Singapore arbitration) it was never told were fabricated</w:t>
            </w:r>
          </w:p>
        </w:tc>
        <w:tc>
          <w:tcPr>
            <w:tcW w:type="dxa" w:w="5960"/>
            <w:shd w:fill="F7F9FB" w:val="clear"/>
            <w:tcMar>
              <w:top w:type="dxa" w:w="80"/>
              <w:left w:type="dxa" w:w="110"/>
              <w:bottom w:type="dxa" w:w="80"/>
              <w:right w:type="dxa" w:w="110"/>
            </w:tcMar>
          </w:tcPr>
          <w:p>
            <w:pPr>
              <w:spacing w:after="0" w:line="260"/>
            </w:pPr>
            <w:r>
              <w:rPr>
                <w:sz w:val="19"/>
                <w:szCs w:val="19"/>
              </w:rPr>
              <w:t xml:space="preserve">The gap report undercounts for two distinct, unrelated reasons (chunk-coincidence at scale, unverifiable citations on small documents) — neither has a fix tried yet</w:t>
            </w:r>
          </w:p>
        </w:tc>
      </w:tr>
      <w:tr>
        <w:trPr>
          <w:cantSplit/>
        </w:trPr>
        <w:tc>
          <w:tcPr>
            <w:tcW w:type="dxa" w:w="3400"/>
            <w:tcMar>
              <w:top w:type="dxa" w:w="80"/>
              <w:left w:type="dxa" w:w="110"/>
              <w:bottom w:type="dxa" w:w="80"/>
              <w:right w:type="dxa" w:w="110"/>
            </w:tcMar>
          </w:tcPr>
          <w:p>
            <w:pPr>
              <w:spacing w:after="0" w:line="260"/>
            </w:pPr>
            <w:r>
              <w:rPr>
                <w:sz w:val="19"/>
                <w:szCs w:val="19"/>
              </w:rPr>
              <w:t xml:space="preserve">A claim with no retrievable support is reported as unjudged or no_evidence, never fabricated as a verdict</w:t>
            </w:r>
          </w:p>
        </w:tc>
        <w:tc>
          <w:tcPr>
            <w:tcW w:type="dxa" w:w="5960"/>
            <w:tcMar>
              <w:top w:type="dxa" w:w="80"/>
              <w:left w:type="dxa" w:w="110"/>
              <w:bottom w:type="dxa" w:w="80"/>
              <w:right w:type="dxa" w:w="110"/>
            </w:tcMar>
          </w:tcPr>
          <w:p>
            <w:pPr>
              <w:spacing w:after="0" w:line="260"/>
            </w:pPr>
            <w:r>
              <w:rPr>
                <w:sz w:val="19"/>
                <w:szCs w:val="19"/>
              </w:rPr>
              <w:t xml:space="preserve">No test yet of two independent extractions of the same document disagreeing with each other</w:t>
            </w:r>
          </w:p>
        </w:tc>
      </w:tr>
      <w:tr>
        <w:trPr>
          <w:cantSplit/>
        </w:trPr>
        <w:tc>
          <w:tcPr>
            <w:tcW w:type="dxa" w:w="3400"/>
            <w:shd w:fill="F7F9FB" w:val="clear"/>
            <w:tcMar>
              <w:top w:type="dxa" w:w="80"/>
              <w:left w:type="dxa" w:w="110"/>
              <w:bottom w:type="dxa" w:w="80"/>
              <w:right w:type="dxa" w:w="110"/>
            </w:tcMar>
          </w:tcPr>
          <w:p>
            <w:pPr>
              <w:spacing w:after="0" w:line="260"/>
            </w:pPr>
            <w:r>
              <w:rPr>
                <w:sz w:val="19"/>
                <w:szCs w:val="19"/>
              </w:rPr>
              <w:t xml:space="preserve">Ontology reuse is real: a repeat submission of the identical document completed in under 15 seconds, not minutes</w:t>
            </w:r>
          </w:p>
        </w:tc>
        <w:tc>
          <w:tcPr>
            <w:tcW w:type="dxa" w:w="5960"/>
            <w:shd w:fill="F7F9FB" w:val="clear"/>
            <w:tcMar>
              <w:top w:type="dxa" w:w="80"/>
              <w:left w:type="dxa" w:w="110"/>
              <w:bottom w:type="dxa" w:w="80"/>
              <w:right w:type="dxa" w:w="110"/>
            </w:tcMar>
          </w:tcPr>
          <w:p>
            <w:pPr>
              <w:spacing w:after="0" w:line="260"/>
            </w:pPr>
            <w:r>
              <w:rPr>
                <w:sz w:val="19"/>
                <w:szCs w:val="19"/>
              </w:rPr>
              <w:t xml:space="preserve">No concurrent-job test — one process, one background task pool, unexercised under real load</w:t>
            </w:r>
          </w:p>
        </w:tc>
      </w:tr>
      <w:tr>
        <w:trPr>
          <w:cantSplit/>
        </w:trPr>
        <w:tc>
          <w:tcPr>
            <w:tcW w:type="dxa" w:w="3400"/>
            <w:tcMar>
              <w:top w:type="dxa" w:w="80"/>
              <w:left w:type="dxa" w:w="110"/>
              <w:bottom w:type="dxa" w:w="80"/>
              <w:right w:type="dxa" w:w="110"/>
            </w:tcMar>
          </w:tcPr>
          <w:p>
            <w:pPr>
              <w:spacing w:after="0" w:line="260"/>
            </w:pPr>
            <w:r>
              <w:rPr>
                <w:sz w:val="19"/>
                <w:szCs w:val="19"/>
              </w:rPr>
              <w:t xml:space="preserve">Census instability is real and reproduces on demand: two different concepts, three different documents, four different runs, all showed a real spread or a coverage change rather than a fixed answer</w:t>
            </w:r>
          </w:p>
        </w:tc>
        <w:tc>
          <w:tcPr>
            <w:tcW w:type="dxa" w:w="5960"/>
            <w:tcMar>
              <w:top w:type="dxa" w:w="80"/>
              <w:left w:type="dxa" w:w="110"/>
              <w:bottom w:type="dxa" w:w="80"/>
              <w:right w:type="dxa" w:w="110"/>
            </w:tcMar>
          </w:tcPr>
          <w:p>
            <w:pPr>
              <w:spacing w:after="0" w:line="260"/>
            </w:pPr>
            <w:r>
              <w:rPr>
                <w:sz w:val="19"/>
                <w:szCs w:val="19"/>
              </w:rPr>
              <w:t xml:space="preserve">Only one document (RFC 6749) has been run at real scale; the other three are all small — whether 182 chunks is representative of "large" is itself untested</w:t>
            </w:r>
          </w:p>
        </w:tc>
      </w:tr>
      <w:tr>
        <w:trPr>
          <w:cantSplit/>
        </w:trPr>
        <w:tc>
          <w:tcPr>
            <w:tcW w:type="dxa" w:w="3400"/>
            <w:shd w:fill="F7F9FB" w:val="clear"/>
            <w:tcMar>
              <w:top w:type="dxa" w:w="80"/>
              <w:left w:type="dxa" w:w="110"/>
              <w:bottom w:type="dxa" w:w="80"/>
              <w:right w:type="dxa" w:w="110"/>
            </w:tcMar>
          </w:tcPr>
          <w:p>
            <w:pPr>
              <w:spacing w:after="0" w:line="260"/>
            </w:pPr>
            <w:r>
              <w:rPr>
                <w:sz w:val="19"/>
                <w:szCs w:val="19"/>
              </w:rPr>
              <w:t xml:space="preserve">A real infrastructure failure (a transient 500 mid-run) was survived, logged, and did not take the run down — the resilience this pipeline was built with, exercised rather than only claimed</w:t>
            </w:r>
          </w:p>
        </w:tc>
        <w:tc>
          <w:tcPr>
            <w:tcW w:type="dxa" w:w="5960"/>
            <w:shd w:fill="F7F9FB" w:val="clear"/>
            <w:tcMar>
              <w:top w:type="dxa" w:w="80"/>
              <w:left w:type="dxa" w:w="110"/>
              <w:bottom w:type="dxa" w:w="80"/>
              <w:right w:type="dxa" w:w="110"/>
            </w:tcMar>
          </w:tcPr>
          <w:p>
            <w:pPr>
              <w:spacing w:after="0" w:line="260"/>
            </w:pPr>
            <w:r>
              <w:rPr>
                <w:sz w:val="19"/>
                <w:szCs w:val="19"/>
              </w:rPr>
              <w:t xml:space="preserve">A real defect in hand-authored claim data (an unquoted CSV comma) was caught only because its verdict looked wrong — nothing in this system currently validates claim input before judging it</w:t>
            </w:r>
          </w:p>
        </w:tc>
      </w:tr>
    </w:tbl>
    <w:p>
      <w:pPr>
        <w:spacing w:after="160"/>
      </w:pPr>
    </w:p>
    <w:p>
      <w:pPr>
        <w:pStyle w:val="Heading1"/>
        <w:pBdr>
          <w:bottom w:val="single" w:color="C8C8C8" w:sz="6" w:space="6"/>
        </w:pBdr>
        <w:spacing w:after="160" w:before="380"/>
      </w:pPr>
      <w:r>
        <w:rPr>
          <w:b/>
          <w:bCs/>
          <w:color w:val="1F4E79"/>
          <w:sz w:val="30"/>
          <w:szCs w:val="30"/>
        </w:rPr>
        <w:t xml:space="preserve">What would change the picture most</w:t>
      </w:r>
    </w:p>
    <w:p>
      <w:pPr>
        <w:spacing w:after="140" w:line="300"/>
      </w:pPr>
      <w:r>
        <w:rPr>
          <w:b/>
          <w:bCs/>
          <w:sz w:val="21"/>
          <w:szCs w:val="21"/>
        </w:rPr>
        <w:t xml:space="preserve">Running RFC 6749 again with credentials was done — see above — and it answered a narrower question than hoped: not whether escalation overturns anything, only that this specific claim set does not reliably produce the split verdict escalation needs.</w:t>
      </w:r>
      <w:r>
        <w:rPr>
          <w:sz w:val="21"/>
          <w:szCs w:val="21"/>
        </w:rPr>
        <w:t xml:space="preserve"> Five credentialed attempts across two documents have now produced one trigger and one confirmation. The honest next step is not a sixth attempt at the same claims; it is claims deliberately written to be borderline — assertions sitting closer to the line between mentions_only and contradicts than any of the thirty-two written so far — since that is what a split verdict actually requires, and this project has so far only found one by accident rather than by design.</w:t>
      </w:r>
    </w:p>
    <w:p>
      <w:pPr>
        <w:spacing w:after="140" w:line="300"/>
      </w:pPr>
      <w:r>
        <w:rPr>
          <w:b/>
          <w:bCs/>
          <w:sz w:val="21"/>
          <w:szCs w:val="21"/>
        </w:rPr>
        <w:t xml:space="preserve">Second: the gap report's two failure modes need two different fixes, not one.</w:t>
      </w:r>
      <w:r>
        <w:rPr>
          <w:sz w:val="21"/>
          <w:szCs w:val="21"/>
        </w:rPr>
        <w:t xml:space="preserve"> The chunk-coincidence problem (RFC 6749) wants a coarser match — concept-type-level or section-level rather than exact-chunk. The citation-verification problem (the services agreement) wants the census itself to try harder, or to say explicitly when it found a name but never pinned a location, rather than that absence reading identically to "never mentioned" in the current report. Building only one fix and assuming it covers both would repeat the mistake this paper keeps finding: one document's finding is not automatically true of a different document.</w:t>
      </w:r>
    </w:p>
    <w:p>
      <w:pPr>
        <w:spacing w:after="140" w:line="300"/>
      </w:pPr>
      <w:r>
        <w:rPr>
          <w:sz w:val="21"/>
          <w:szCs w:val="21"/>
        </w:rPr>
        <w:t xml:space="preserve">Third: repeat the census on RFC 6749's parameter concept again and see whether the 21–31 spread narrows, widens, or lands somewhere else entirely. Two data points establish that the instability is real; they do not yet establish its shape — and the same question now applies to concepts_covered itself, which moved between two runs on the identical cached ontology without anything else changing.</w:t>
      </w:r>
    </w:p>
    <w:p>
      <w:pPr>
        <w:spacing w:after="140" w:line="300"/>
      </w:pPr>
      <w:r>
        <w:rPr>
          <w:sz w:val="21"/>
          <w:szCs w:val="21"/>
        </w:rPr>
        <w:t xml:space="preserve">Fourth: at least one large document beyond RFC 6749. Every finding above about scale rests on a sample of one; a second large document, in a different domain, is what would tell whether 182 chunks and OAuth's own particular structure are representative of "large" generally, or just of this one document.</w:t>
      </w:r>
    </w:p>
    <w:p>
      <w:pPr>
        <w:pStyle w:val="Heading1"/>
        <w:pBdr>
          <w:bottom w:val="single" w:color="C8C8C8" w:sz="6" w:space="6"/>
        </w:pBdr>
        <w:spacing w:after="160" w:before="380"/>
      </w:pPr>
      <w:r>
        <w:rPr>
          <w:b/>
          <w:bCs/>
          <w:color w:val="1F4E79"/>
          <w:sz w:val="30"/>
          <w:szCs w:val="30"/>
        </w:rPr>
        <w:t xml:space="preserve">How this paper was produced</w:t>
      </w:r>
    </w:p>
    <w:p>
      <w:pPr>
        <w:spacing w:after="140" w:line="300"/>
      </w:pPr>
      <w:r>
        <w:rPr>
          <w:sz w:val="21"/>
          <w:szCs w:val="21"/>
        </w:rPr>
        <w:t xml:space="preserve">Every figure comes from a recorded run against a real model — six runs across four documents in total, each captured in one script invocation, so the per-claim verdicts and the gap report cited for any one document describe the same execution rather than being assembled from runs taken at different times.</w:t>
      </w:r>
    </w:p>
    <w:p>
      <w:pPr>
        <w:spacing w:after="140" w:line="300"/>
      </w:pPr>
      <w:r>
        <w:rPr>
          <w:sz w:val="21"/>
          <w:szCs w:val="21"/>
        </w:rPr>
        <w:t xml:space="preserve">The document is generated from a script and rendered to images before delivery, so its layout is looked at rather than assumed.</w:t>
      </w:r>
    </w:p>
    <w:p>
      <w:pPr>
        <w:spacing w:after="140" w:line="300"/>
      </w:pPr>
      <w:r>
        <w:rPr>
          <w:sz w:val="21"/>
          <w:szCs w:val="21"/>
        </w:rPr>
        <w:t xml:space="preserve">The same rule this project's own code applies to a claim applies here to a sentence: a thing that has not been checked is reported as unchecked, not quietly upgraded to a finding.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2026-08-21T16:33:26.268Z</dcterms:created>
  <dcterms:modified xsi:type="dcterms:W3CDTF">2026-08-21T16:33:26.269Z</dcterms:modified>
</cp:coreProperties>
</file>

<file path=docProps/custom.xml><?xml version="1.0" encoding="utf-8"?>
<Properties xmlns="http://schemas.openxmlformats.org/officeDocument/2006/custom-properties" xmlns:vt="http://schemas.openxmlformats.org/officeDocument/2006/docPropsVTypes"/>
</file>