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C51" w:rsidRPr="00041C51" w:rsidRDefault="00041C51" w:rsidP="00041C51">
      <w:r>
        <w:t xml:space="preserve">Alastair Macdonald es Responsable de Investigación y Estrategia en Phar Partnerships, donde dirige un nuevo departamento que analiza el valor y los efectos de los patrocinios.  </w:t>
      </w:r>
      <w:r>
        <w:t xml:space="preserve">El departamento cubre todo tipo de patrocinios, desde los tradicionales patrocinios deportivos hasta los de sectores de rápido crecimiento como las infraestructuras, el ocio y el turismo. </w:t>
      </w:r>
      <w:r>
        <w:t>Alistair es experto en concebir marcos de referencia estratégicos para marcas y propietarios de derechos y en diseñar y gestionar programas de investigación que identifican la efectividad de los patrocinios en el cumplimiento de los objetivos de marketing.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41C51" w:rsidRPr="00041C51" w:rsidRDefault="00041C51" w:rsidP="00041C51">
      <w:pPr/>
    </w:p>
    <w:p w:rsidR="00041C51" w:rsidRDefault="00041C51" w:rsidP="00041C51">
      <w:r>
        <w:t xml:space="preserve">Alastair anteriormente fue Responsable de Información en Havas Sports &amp; Entertainment, donde trabajó con patrocinadores y titulares de derechos como The Premier League, The Football Association, The Ryder Cup, Volvo Ocean Race, Mercedes Grand Prix, Chelsea FC, Manchester City FC, Lawn Tennis Association, O2, Lucozade y Nokia. </w:t>
      </w:r>
      <w:r>
        <w:t>Anteriormente fue Director Gerente de Connexus, una consultoría independiente de patrocinios que pasó a formar parte de Havas Sports &amp; Entertainment en 2008.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41C51" w:rsidRPr="00041C51" w:rsidRDefault="00041C51" w:rsidP="00041C51">
      <w:pPr/>
      <w:bookmarkStart w:id="0" w:name="_GoBack"/>
      <w:bookmarkEnd w:id="0"/>
    </w:p>
    <w:p w:rsidR="00041C51" w:rsidRPr="00041C51" w:rsidRDefault="00041C51" w:rsidP="00041C51">
      <w:r>
        <w:t>Alastair obtuvo su título Licenciatura en Contabilidad y Economía en la Universidad de Southampton.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51"/>
    <w:rsid w:val="00041C51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2014-09-29T19:16:00Z</dcterms:created>
  <dcterms:modified xsi:type="dcterms:W3CDTF">2014-09-29T19:16:00Z</dcterms:modified>
</cp:coreProperties>
</file>