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9A8B0" w14:textId="2C532FAA" w:rsidR="00DF7BC8" w:rsidRPr="00602A79" w:rsidRDefault="00DF7BC8" w:rsidP="00DF7BC8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La Dra. Anna Tavis es Responsable de Talento y Desarrollo en Brown Brothers Harriman, con sede en la ciudad de Nueva York. </w:t>
      </w:r>
      <w:r>
        <w:rPr>
          <w:rFonts w:ascii="Times New Roman" w:hAnsi="Times New Roman"/>
          <w:sz w:val="24"/>
        </w:rPr>
        <w:t>Su carrera se ha desarrollado en torno a la gestión de talento global y aprendizaje en empresas, instituciones académicas y consultorías, y tiene una gran experiencia trabajando en Europa, India, Eurasia y Oriente Medio.</w:t>
      </w:r>
    </w:p>
    <w:p w14:paraId="54694E83" w14:textId="50D66F89" w:rsidR="00DF7BC8" w:rsidRPr="00602A79" w:rsidRDefault="00DF7BC8" w:rsidP="00DF7BC8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Anna también es Editora de los diarios Perspectives Column for People y Strategy Journal y es miembro de la junta directiva de la Human Resource Planning Society. </w:t>
      </w:r>
      <w:r>
        <w:rPr>
          <w:rFonts w:ascii="Times New Roman" w:hAnsi="Times New Roman"/>
          <w:sz w:val="24"/>
        </w:rPr>
        <w:t>Imparte conferencias regularmente, publica sobre sobre temas relacionados con la gestión global del talento y es autora del libro "Perspectives".</w:t>
      </w:r>
    </w:p>
    <w:p w14:paraId="66F5EAFA" w14:textId="6C7E71DD" w:rsidR="00DF7BC8" w:rsidRPr="00602A79" w:rsidRDefault="00DF7BC8" w:rsidP="00DF7BC8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Actualmente, Anna es Profesora Asociada en la NYU, donde imparte clases en programas de posgrado sobre gestión del talento y organización en el Department of Leadership and Human Resource Management. </w:t>
      </w:r>
      <w:r>
        <w:rPr>
          <w:rFonts w:ascii="Times New Roman" w:hAnsi="Times New Roman"/>
          <w:sz w:val="24"/>
        </w:rPr>
        <w:t>Es titulada en Lingüística y Educación por la Herzen Pedagogical University, y tiene una Maestría y un Doctorado en Literatura Comparada de Princeton University, así como un Certificado Superior en Administración de Empresas de la Universidad de Carolina del Sur.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3446E89" w14:textId="77777777" w:rsidR="00F3272D" w:rsidRPr="00602A79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602A7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8"/>
    <w:rsid w:val="00386D1F"/>
    <w:rsid w:val="00461FE9"/>
    <w:rsid w:val="00602A79"/>
    <w:rsid w:val="00760ABD"/>
    <w:rsid w:val="00DF7BC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E917E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F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F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2012-02-27T15:48:00Z</dcterms:created>
  <dcterms:modified xsi:type="dcterms:W3CDTF">2012-02-27T15:48:00Z</dcterms:modified>
</cp:coreProperties>
</file>