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96" w:rsidRDefault="00ED00B7" w:rsidP="00994296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Groneck</w:t>
      </w:r>
      <w:proofErr w:type="spellEnd"/>
      <w:r>
        <w:rPr>
          <w:rFonts w:ascii="Times New Roman" w:hAnsi="Times New Roman"/>
          <w:sz w:val="24"/>
        </w:rPr>
        <w:t xml:space="preserve"> es Director de Planificación y Ejecución de Tecnología en Boeing Research &amp; Technology (BR&amp;T), donde se responsabiliza de desarrollar y gestionar la estrategia tecnológica de la empresa. BR&amp;T es la organización central de investigación y desarrollo de Boeing con más de 3.700 ingenieros. </w:t>
      </w:r>
    </w:p>
    <w:p w:rsidR="00994296" w:rsidRDefault="00ED00B7" w:rsidP="00994296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se unió a la organización en 1997 y en 2005 lo nombraron Integrador del Programa Ejecutivo de Bob Krieger, Presidente de Boeing Phantom Works.  En este cargo, Dan lideró proyectos especiales, supervisó las operaciones cotidianas de la organización y coordinó eventos de nivel ejecutivo. En 2007 Dan se convirtió en Ingeniero Jefe de más de 550 ingenieros en AeroStructures, la organización de soporte de tecnología y fabricación dentro de BR&amp;T. Lo ascendieron a su posición actual en 2010. </w:t>
      </w:r>
    </w:p>
    <w:p w:rsidR="00994296" w:rsidRDefault="00ED00B7" w:rsidP="00994296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posee una Licenciatura en Ingeniería Mecánica e Historia por la Rice University, así como una Maestría en Ingeniería Mecánica y una Maestría en Administración de Empresas de Washington University. </w:t>
      </w:r>
    </w:p>
    <w:p w:rsidR="00ED00B7" w:rsidRPr="00F817E2" w:rsidRDefault="00ED00B7" w:rsidP="009942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Asistió al programa General Management de Harvard Business School. Dan ha impartido Operaciones y Gestión de Proyectos en Maryville University y varios cursos en el Boeing Leadership Center. </w:t>
      </w:r>
    </w:p>
    <w:sectPr w:rsidR="00ED00B7" w:rsidRPr="00F817E2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3868E9"/>
    <w:rsid w:val="005257E9"/>
    <w:rsid w:val="00681C82"/>
    <w:rsid w:val="007F1FFD"/>
    <w:rsid w:val="00806683"/>
    <w:rsid w:val="0088201F"/>
    <w:rsid w:val="00994296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A9DF3"/>
  <w15:docId w15:val="{17510DE7-6649-467C-870C-A40B1FB8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0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Leticia Petroselli</cp:lastModifiedBy>
  <cp:revision>3</cp:revision>
  <dcterms:created xsi:type="dcterms:W3CDTF">2011-12-16T17:12:00Z</dcterms:created>
  <dcterms:modified xsi:type="dcterms:W3CDTF">2016-04-15T20:30:00Z</dcterms:modified>
</cp:coreProperties>
</file>