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7A2" w:rsidRPr="00D007A2" w:rsidRDefault="00D007A2" w:rsidP="00D007A2">
      <w:r>
        <w:t xml:space="preserve">Enrique Dilone es Vicepresidente de Operaciones Técnicas en Amicus Therapeutics, una empresa biofarmacéutica que desarrolla terapias para un amplio rango de enfermedades genéticas humanas. </w:t>
      </w:r>
      <w:r>
        <w:t>Allí encabeza el departamento responsable de producción, desarrollo técnico (producto, proceso y análisis) y la gestión de la cadena de suministro de todos los productos Amicus, incluyendo las pequeñas moléculas y componentes biológicos.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D007A2" w:rsidRPr="00D007A2" w:rsidRDefault="00D007A2" w:rsidP="00D007A2">
      <w:pPr/>
    </w:p>
    <w:p w:rsidR="00D007A2" w:rsidRPr="00D007A2" w:rsidRDefault="00D007A2" w:rsidP="00D007A2">
      <w:r>
        <w:t xml:space="preserve">Antes de unirse a Amicus, Enrique trabajó como Director Ejecutivo de Calidad y Análisis en NovaDel Pharma, una empresa farmacéutica especializada que desarrolla fórmulas orales en spray. </w:t>
      </w:r>
      <w:r>
        <w:t>Trabajó en varios departamentos de desarrollo farmacéutico en Wyeth y Hoffman-La Roche.</w:t>
      </w:r>
    </w:p>
    <w:p w:rsidR="00C354EB" w:rsidRPr="00D007A2" w:rsidRDefault="00D007A2" w:rsidP="00D007A2">
      <w:r>
        <w:br/>
      </w:r>
      <w:r>
        <w:t xml:space="preserve">Enrique obtuvo un Doctorado y una Maestría, ambos en Química, de Seton Hall University, y una Licenciatura en Química de la Universidad de Nueva York. </w:t>
      </w:r>
      <w:r>
        <w:t>También es titulado en Asuntos de Regulación de EE. UU.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Pr="00D007A2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7A2"/>
    <w:rsid w:val="00C354EB"/>
    <w:rsid w:val="00D0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6AC236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07A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07A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1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713</Characters>
  <Application>Microsoft Macintosh Word</Application>
  <DocSecurity>0</DocSecurity>
  <Lines>5</Lines>
  <Paragraphs>1</Paragraphs>
  <ScaleCrop>false</ScaleCrop>
  <Company>Harvard Business Publishing</Company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1</cp:revision>
  <dcterms:created xsi:type="dcterms:W3CDTF">2014-09-15T20:53:00Z</dcterms:created>
  <dcterms:modified xsi:type="dcterms:W3CDTF">2014-09-15T20:54:00Z</dcterms:modified>
</cp:coreProperties>
</file>