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05B" w:rsidRPr="002B5CE6" w:rsidRDefault="0028105B" w:rsidP="0028105B">
      <w:pPr>
        <w:pStyle w:val="Header"/>
        <w:tabs>
          <w:tab w:val="left" w:pos="720"/>
        </w:tabs>
        <w:rPr>
          <w:rFonts w:ascii="Calibri" w:hAnsi="Calibri" w:cs="Arial"/>
          <w:sz w:val="22"/>
          <w:szCs w:val="22"/>
        </w:rPr>
      </w:pPr>
      <w:bookmarkStart w:id="0" w:name="_GoBack"/>
      <w:bookmarkEnd w:id="0"/>
    </w:p>
    <w:p w:rsidR="0028105B" w:rsidRPr="002B5CE6" w:rsidRDefault="0028105B" w:rsidP="0028105B">
      <w:pPr>
        <w:autoSpaceDE w:val="0"/>
        <w:autoSpaceDN w:val="0"/>
        <w:adjustRightInd w:val="0"/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 xml:space="preserve">P. Cody Phipps es Presidente y Director General de United Stationers, un distribuidor nacional de venta al por mayor de productos de oficina, suministros informáticos y de mantenimiento con sede en Deerfield, Illinois. </w:t>
      </w:r>
      <w:r>
        <w:rPr>
          <w:rFonts w:ascii="Calibri" w:hAnsi="Calibri"/>
          <w:sz w:val="22"/>
        </w:rPr>
        <w:t xml:space="preserve">Se incorporó a United Stationers en agosto de 2003 como Vicepresidente Sénior de Operaciones, donde fue responsable de todas las operaciones, gestión de inventario y funciones de transporte de la empresa.  </w:t>
      </w:r>
      <w:r>
        <w:rPr>
          <w:rFonts w:ascii="Calibri" w:hAnsi="Calibri"/>
          <w:sz w:val="22"/>
        </w:rPr>
        <w:t xml:space="preserve">Además, dirigió la estrategia y las tácticas para garantizar que todos los programas operativos coincidiesen y apoyasen los objetivos estratégicos de la empresa. 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/>
          <w:sz w:val="22"/>
          <w:szCs w:val="22"/>
        </w:rPr>
      </w:pPr>
    </w:p>
    <w:p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 xml:space="preserve">Antes de unirse a United Stationers, Cody fue Socio en McKinsey &amp; Company en Chicago.  </w:t>
      </w:r>
      <w:r>
        <w:rPr>
          <w:rFonts w:ascii="Calibri" w:hAnsi="Calibri"/>
          <w:sz w:val="22"/>
        </w:rPr>
        <w:t xml:space="preserve">Allí lideró el departamento de Eficiencia en Operaciones Norteamericanas de la empresa y cofundó y dirigió la iniciativa Service Strategy and Operations, que se centraba en implementar mejoras operativas significativas en entornos de servicios y logística complejos.  </w:t>
      </w:r>
      <w:r>
        <w:rPr>
          <w:rFonts w:ascii="Calibri" w:hAnsi="Calibri"/>
          <w:sz w:val="22"/>
        </w:rPr>
        <w:t>También ostentó el cargo de Director en el Information Consulting Group (ICG) de Chicago y trabajó en marketing para IBM en Columbus (Ohio).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 w:cs="Arial"/>
          <w:sz w:val="22"/>
          <w:szCs w:val="22"/>
        </w:rPr>
      </w:pPr>
    </w:p>
    <w:p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Cody tiene una Licenciatura en Ingeniería Mecánica de la Universidad Estatal de Ohio y una Maestría en Administración de Empresas con especialidad en Finanzas de la Graduate School of Business de la Universidad de Chicago.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/>
          <w:sz w:val="22"/>
          <w:szCs w:val="22"/>
        </w:rPr>
      </w:pPr>
    </w:p>
    <w:p w:rsidR="0028105B" w:rsidRPr="002B5CE6" w:rsidRDefault="0028105B" w:rsidP="0028105B">
      <w:pPr>
        <w:pStyle w:val="Header"/>
        <w:tabs>
          <w:tab w:val="left" w:pos="720"/>
        </w:tabs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ind w:left="720"/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ind w:left="720"/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rPr>
          <w:rFonts w:ascii="Calibri" w:hAnsi="Calibri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8105B" w:rsidRPr="002B5CE6" w:rsidRDefault="0028105B" w:rsidP="0028105B">
      <w:pPr>
        <w:rPr>
          <w:rFonts w:ascii="Calibri" w:hAnsi="Calibri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Sect="00557F75">
      <w:pgSz w:w="12240" w:h="15840" w:code="1"/>
      <w:pgMar w:top="1728" w:right="1440" w:bottom="1728" w:left="1440" w:header="720" w:footer="36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5B"/>
    <w:rsid w:val="0028105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105B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HeaderChar">
    <w:name w:val="Header Char"/>
    <w:basedOn w:val="DefaultParagraphFont"/>
    <w:link w:val="Header"/>
    <w:rsid w:val="0028105B"/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105B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HeaderChar">
    <w:name w:val="Header Char"/>
    <w:basedOn w:val="DefaultParagraphFont"/>
    <w:link w:val="Header"/>
    <w:rsid w:val="0028105B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2011-12-06T18:37:00Z</dcterms:created>
  <dcterms:modified xsi:type="dcterms:W3CDTF">2011-12-06T18:38:00Z</dcterms:modified>
</cp:coreProperties>
</file>