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4D501" w14:textId="34272885" w:rsidR="00D86BCF" w:rsidRDefault="00D86BCF" w:rsidP="00846A2C">
      <w:pPr>
        <w:ind w:firstLine="720"/>
      </w:pPr>
      <w:r>
        <w:t>Roger Martin es Decano de la Rotman School of Management de la Universidad de Toronto.</w:t>
      </w:r>
      <w:r w:rsidR="00846A2C">
        <w:t xml:space="preserve"> </w:t>
      </w:r>
      <w:r>
        <w:t>Sus trabajos más recientes se han centrado en la responsabilidad corporativa y en las funciones de la empresa dentro de nuestra estructura económica.</w:t>
      </w:r>
    </w:p>
    <w:p w14:paraId="7A3C5583" w14:textId="77777777" w:rsidR="00D86BCF" w:rsidRDefault="00D86BCF"/>
    <w:p w14:paraId="77A96DBC" w14:textId="77777777" w:rsidR="00F3272D" w:rsidRPr="00846A2C" w:rsidRDefault="00D86BCF" w:rsidP="00846A2C">
      <w:pPr>
        <w:ind w:firstLine="720"/>
        <w:rPr>
          <w:rFonts w:eastAsia="Times New Roman" w:cs="Times New Roman"/>
          <w:lang w:val="en-US"/>
        </w:rPr>
      </w:pPr>
      <w:r>
        <w:t xml:space="preserve">Roger es consejero de estrategia de los directores generales de muchas de las mayores corporaciones mundiales. Escribe con asiduidad sobre diseño y es colaborador habitual del blog </w:t>
      </w:r>
      <w:r>
        <w:rPr>
          <w:rStyle w:val="nfasis"/>
          <w:i w:val="0"/>
        </w:rPr>
        <w:t>On Leadership del periódico Washington Post</w:t>
      </w:r>
      <w:r>
        <w:rPr>
          <w:i/>
        </w:rPr>
        <w:t xml:space="preserve"> </w:t>
      </w:r>
      <w:r>
        <w:t>y de la columna</w:t>
      </w:r>
      <w:r>
        <w:rPr>
          <w:i/>
        </w:rPr>
        <w:t xml:space="preserve"> </w:t>
      </w:r>
      <w:r>
        <w:rPr>
          <w:rStyle w:val="nfasis"/>
          <w:i w:val="0"/>
        </w:rPr>
        <w:t>Judgment Call</w:t>
      </w:r>
      <w:r>
        <w:t xml:space="preserve"> del </w:t>
      </w:r>
      <w:r>
        <w:rPr>
          <w:rStyle w:val="nfasis"/>
          <w:i w:val="0"/>
        </w:rPr>
        <w:t>Financial Times</w:t>
      </w:r>
      <w:r>
        <w:t xml:space="preserve">. </w:t>
      </w:r>
      <w:r w:rsidRPr="00846A2C">
        <w:rPr>
          <w:lang w:val="en-US"/>
        </w:rPr>
        <w:t xml:space="preserve">Ha </w:t>
      </w:r>
      <w:proofErr w:type="spellStart"/>
      <w:r w:rsidRPr="00846A2C">
        <w:rPr>
          <w:lang w:val="en-US"/>
        </w:rPr>
        <w:t>publicado</w:t>
      </w:r>
      <w:proofErr w:type="spellEnd"/>
      <w:r w:rsidRPr="00846A2C">
        <w:rPr>
          <w:lang w:val="en-US"/>
        </w:rPr>
        <w:t xml:space="preserve"> </w:t>
      </w:r>
      <w:proofErr w:type="spellStart"/>
      <w:r w:rsidRPr="00846A2C">
        <w:rPr>
          <w:lang w:val="en-US"/>
        </w:rPr>
        <w:t>numerosos</w:t>
      </w:r>
      <w:proofErr w:type="spellEnd"/>
      <w:r w:rsidRPr="00846A2C">
        <w:rPr>
          <w:lang w:val="en-US"/>
        </w:rPr>
        <w:t xml:space="preserve"> </w:t>
      </w:r>
      <w:proofErr w:type="spellStart"/>
      <w:r w:rsidRPr="00846A2C">
        <w:rPr>
          <w:lang w:val="en-US"/>
        </w:rPr>
        <w:t>libros</w:t>
      </w:r>
      <w:proofErr w:type="spellEnd"/>
      <w:r w:rsidRPr="00846A2C">
        <w:rPr>
          <w:lang w:val="en-US"/>
        </w:rPr>
        <w:t xml:space="preserve">, entre </w:t>
      </w:r>
      <w:proofErr w:type="spellStart"/>
      <w:r w:rsidRPr="00846A2C">
        <w:rPr>
          <w:lang w:val="en-US"/>
        </w:rPr>
        <w:t>ellos</w:t>
      </w:r>
      <w:proofErr w:type="spellEnd"/>
      <w:r w:rsidRPr="00846A2C">
        <w:rPr>
          <w:lang w:val="en-US"/>
        </w:rPr>
        <w:t xml:space="preserve"> "Playing to Win", con AG </w:t>
      </w:r>
      <w:proofErr w:type="spellStart"/>
      <w:r w:rsidRPr="00846A2C">
        <w:rPr>
          <w:lang w:val="en-US"/>
        </w:rPr>
        <w:t>Lafley</w:t>
      </w:r>
      <w:proofErr w:type="spellEnd"/>
      <w:r w:rsidRPr="00846A2C">
        <w:rPr>
          <w:lang w:val="en-US"/>
        </w:rPr>
        <w:t xml:space="preserve"> y "Fixing the Game: Bubbles, Crashes, and What Capitalism Can Learn from the NFL".</w:t>
      </w:r>
    </w:p>
    <w:p w14:paraId="39E3BBE9" w14:textId="77777777" w:rsidR="00D86BCF" w:rsidRPr="00846A2C" w:rsidRDefault="00D86BCF">
      <w:pPr>
        <w:rPr>
          <w:rFonts w:eastAsia="Times New Roman" w:cs="Times New Roman"/>
          <w:lang w:val="en-US"/>
        </w:rPr>
      </w:pPr>
    </w:p>
    <w:p w14:paraId="70ACA1CC" w14:textId="77777777" w:rsidR="00D86BCF" w:rsidRDefault="00D86BCF" w:rsidP="00846A2C">
      <w:pPr>
        <w:ind w:firstLine="720"/>
        <w:rPr>
          <w:rFonts w:eastAsia="Times New Roman" w:cs="Times New Roman"/>
        </w:rPr>
      </w:pPr>
      <w:bookmarkStart w:id="0" w:name="_GoBack"/>
      <w:bookmarkEnd w:id="0"/>
      <w:r>
        <w:t xml:space="preserve">En 2011, </w:t>
      </w:r>
      <w:proofErr w:type="spellStart"/>
      <w:r>
        <w:t>Thinkers</w:t>
      </w:r>
      <w:proofErr w:type="spellEnd"/>
      <w:r>
        <w:t xml:space="preserve"> 50 nombró a Roger sexto en el ranking de los pensadores de gestión más importantes del mundo. Tiene una Maestría en Administración de Empresas de Harvard Business School y una Licenciatura con la especialidad en Economía del Harvard College.</w:t>
      </w:r>
    </w:p>
    <w:p w14:paraId="29C80C3E" w14:textId="77777777" w:rsidR="00D86BCF" w:rsidRDefault="00D86BCF"/>
    <w:sectPr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386094"/>
    <w:rsid w:val="00463236"/>
    <w:rsid w:val="00846A2C"/>
    <w:rsid w:val="00D86BC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56CEA"/>
  <w14:defaultImageDpi w14:val="300"/>
  <w15:docId w15:val="{DDBB176F-40F7-4DCB-A269-F077D29A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86BC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86BC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2012-10-05T15:01:00Z</dcterms:created>
  <dcterms:modified xsi:type="dcterms:W3CDTF">2016-04-15T20:59:00Z</dcterms:modified>
</cp:coreProperties>
</file>