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37" w:rsidRDefault="00B83737" w:rsidP="00B83737">
      <w:r>
        <w:t xml:space="preserve">Gregory W. Madsen é diretor e vice-presidente sênior de estratégia e cultura corporativas na Mandel Communications, onde lidera muitos projetos de clientes estratégicos da empresa e faz coaching de clientes executivos seniores sobre como envolver funcionários e clientes de forma a gerar ação positiva. </w:t>
      </w:r>
      <w:r>
        <w:t xml:space="preserve">Greg já trabalhou em vários setores da indústria com clientes globais, entre eles, Apple, Cisco, Fidelity Investments, o departamento de educação dos EUA, General Electric, Marriott, Microsoft, Oracle e PricewaterhouseCoopers. </w:t>
      </w:r>
      <w:r>
        <w:t xml:space="preserve">Ele é professor convidado na Universidade de Stanford e escreve sobre diversos tópicos importantes relacionados a liderança. </w:t>
      </w:r>
      <w:r>
        <w:t>Recentemente, foi nomeado para o conselho consultivo da comunidade de prática de capacitação de vendas da American Society of Training and Development.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83737" w:rsidRPr="00B83737" w:rsidRDefault="00B83737" w:rsidP="00B83737">
      <w:pPr/>
    </w:p>
    <w:p w:rsidR="00B83737" w:rsidRDefault="00B83737" w:rsidP="00B83737">
      <w:r>
        <w:t xml:space="preserve">Antes de se entrar para a Mandel, Greg ocupou diversos cargos executivos na CyberSource Corporation, inclusive de vice-presidente sênior de estratégia, vendas mundiais e recursos humanos. </w:t>
      </w:r>
      <w:r>
        <w:t>Ele foi um dos diretores na Catalyst Consulting Team, onde fez parcerias com empresas de alta tecnologia no desenvolvimento e implementação de planos estratégicos.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83737" w:rsidRPr="00B83737" w:rsidRDefault="00B83737" w:rsidP="00B83737">
      <w:pPr/>
      <w:bookmarkStart w:id="0" w:name="_GoBack"/>
      <w:bookmarkEnd w:id="0"/>
    </w:p>
    <w:p w:rsidR="00B83737" w:rsidRPr="00B83737" w:rsidRDefault="00B83737" w:rsidP="00B83737">
      <w:r>
        <w:t>Greg é formado em comportamento organizacional pela Brigham Young University.</w:t>
      </w:r>
    </w:p>
    <w:p w:rsidR="00B83737" w:rsidRPr="00B83737" w:rsidRDefault="00B83737" w:rsidP="00B83737">
      <w:r>
        <w:t>Ele é ativo na comunidade e ocupa vários cargos de liderança em organizações focadas na melhoria da vida de crianças, famílias e adultos.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B83737" w:rsidRDefault="00C354EB" w:rsidP="00B83737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B83737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37"/>
    <w:rsid w:val="00B83737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7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7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2014-09-10T18:34:00Z</dcterms:created>
  <dcterms:modified xsi:type="dcterms:W3CDTF">2014-09-10T18:35:00Z</dcterms:modified>
</cp:coreProperties>
</file>