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97" w:rsidRPr="00494497" w:rsidRDefault="00494497" w:rsidP="00494497">
      <w:r>
        <w:t xml:space="preserve">Como fundador e CEO da Ferrazzi Greenlight, Keith Ferrazzi trabalha para transformar comportamentos antigos que impedem organizações globais de alcançarem suas metas estratégicas em novos comportamentos que aumentem o valor para os acionistas. </w:t>
      </w:r>
      <w:r>
        <w:t xml:space="preserve">O instituto de pesquisa Greenlight, pertencente à empresa, comprovou a correlação entre os relacionamentos positivos e o sucesso da empresa, especificamente no que diz respeito ao desempenho das vendas. </w:t>
      </w:r>
      <w:r>
        <w:t>Com base em uma década de envolvimento prático com importantes organizações globais, Keith aperfeiçoou as técnicas de coaching colaborativo e motivação dos principais públicos que transformam positivamente o comportamento organizacional.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94497" w:rsidRDefault="00494497" w:rsidP="00494497">
      <w:pPr/>
    </w:p>
    <w:p w:rsidR="00494497" w:rsidRDefault="00494497" w:rsidP="00494497">
      <w:r>
        <w:t xml:space="preserve">Keith é autor de “Nunca almoce sozinho” e do livro “3 pessoas para mudar sua vida”, que foi o mais vendido na lista do New York Times. </w:t>
      </w:r>
      <w:r>
        <w:t xml:space="preserve">Ele deu palestra em diversas organizações, incluindo a Merrill Lynch, Goldman Sachs, Microsoft, Organização das Nações Unidas, Facebook, Fórum Econômico Mundial, Kraft, GM, Century 21, AT&amp;T e Aon. </w:t>
      </w:r>
      <w:r>
        <w:t xml:space="preserve">Keith foi colaborador da CNN e da CNBC e convidado dos programas Larry King Live e Today Show. </w:t>
      </w:r>
      <w:r>
        <w:t>Seus textos foram publicados na Forbes, Inc., BusinessWeek, The Wall Street Journal e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94497" w:rsidRPr="00494497" w:rsidRDefault="00494497" w:rsidP="00494497">
      <w:pPr/>
    </w:p>
    <w:p w:rsidR="00C354EB" w:rsidRDefault="00494497">
      <w:r>
        <w:t xml:space="preserve">Keith foi nomeado “Líder global do amanhã” pelo Fórum Econômico Mundial, como um dos “40 melhores líderes comerciais com menos de 40” pela Crain’s Business e um dos americanos mais criativos pelo Who’s Really Who. </w:t>
      </w:r>
      <w:r>
        <w:t>Ele fez MBA na Harvard Business School e bacharelado na Universidade de Yale.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97"/>
    <w:rsid w:val="0049449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2014-09-30T21:09:00Z</dcterms:created>
  <dcterms:modified xsi:type="dcterms:W3CDTF">2014-09-30T21:09:00Z</dcterms:modified>
</cp:coreProperties>
</file>