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7F" w:rsidRPr="0072337F" w:rsidRDefault="0072337F" w:rsidP="0072337F">
      <w:r>
        <w:t xml:space="preserve">Teri Mendelsohn é presidente da Mendelsohn Consulting, Inc., um escritório com sede em Nova York especializado na criação, implementação e lançamento de produtos de informações on-line e seus aprimoramentos. </w:t>
      </w:r>
      <w:r>
        <w:t xml:space="preserve">Como consultora, suas capacidades incluem organizar projetos individuais e desenvolver processos e ferramentas para gerenciar recursos, especialmente para produtos de informações digitais. </w:t>
      </w:r>
      <w:r>
        <w:t xml:space="preserve">Ela é uma profissional do programa de caixa de ressonância empresarial da Columbia Business School. </w:t>
      </w:r>
      <w:r>
        <w:t>Teri gerencia compromissos, trazendo especialistas parceiros conforme necessário.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337F" w:rsidRPr="0072337F" w:rsidRDefault="0072337F" w:rsidP="0072337F">
      <w:pPr/>
    </w:p>
    <w:p w:rsidR="0072337F" w:rsidRPr="0072337F" w:rsidRDefault="0072337F" w:rsidP="0072337F">
      <w:r>
        <w:t xml:space="preserve">Anteriormente, Teri foi diretora de mercados clínicos na Ovid Technologies, uma empresa Wolters Kluwer N.V. e provedora líder de banco de dados de citações e textos completos de biomedicina. </w:t>
      </w:r>
      <w:r>
        <w:t xml:space="preserve">Na Ovid, ela era diretora de planejamento estratégico e desenvolvimento de negócios. </w:t>
      </w:r>
      <w:r>
        <w:t xml:space="preserve">Antes de entrar na Ovid, ela foi uma sócia do escritório de mídia da empresa de consultoria estratégica global Mitchell Madison Group. </w:t>
      </w:r>
      <w:r>
        <w:t>Na MIT Press, ela foi editora coordenadora da área de ciência cognitiva antes de se tornar editora assistente de aquisições da área de filosofia.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337F" w:rsidRPr="0072337F" w:rsidRDefault="0072337F" w:rsidP="0072337F">
      <w:pPr/>
    </w:p>
    <w:p w:rsidR="0072337F" w:rsidRPr="0072337F" w:rsidRDefault="0072337F" w:rsidP="0072337F">
      <w:r>
        <w:t>Teri fez MBA na Columbia Business School e bacharelado na Universidade da Pensilvânia.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337F" w:rsidRDefault="0072337F" w:rsidP="0072337F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7F"/>
    <w:rsid w:val="0072337F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2014-09-25T23:58:00Z</dcterms:created>
  <dcterms:modified xsi:type="dcterms:W3CDTF">2014-09-25T23:58:00Z</dcterms:modified>
</cp:coreProperties>
</file>