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EC69E" w14:textId="77777777" w:rsidR="00E9099F" w:rsidRPr="00E9099F" w:rsidRDefault="00E9099F" w:rsidP="00E9099F">
      <w:r>
        <w:t xml:space="preserve">V.G. </w:t>
      </w:r>
      <w:r>
        <w:t xml:space="preserve">Narayanan é professor de administração de empresas com título Thomas D. Casserly, Jr. na Harvard Business School, onde leciona nas áreas de controle e relatórios financeiros, medição de promoção de desempenho corporativo e diversos cursos de formação executiva. </w:t>
      </w:r>
      <w:r>
        <w:t>A pesquisa dele inclui tópicos de contabilidade de gestão, avaliação de desempenho e como incentivos financeiros podem ser usados como catalisadores para criar hábitos desejáveis e utilizar outros motivadores, como pressão dos pares.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066A38" w14:textId="77777777" w:rsidR="00E9099F" w:rsidRPr="00E9099F" w:rsidRDefault="00E9099F" w:rsidP="00E9099F">
      <w:pPr/>
    </w:p>
    <w:p w14:paraId="3525E9D8" w14:textId="77777777" w:rsidR="00E9099F" w:rsidRPr="00E9099F" w:rsidRDefault="00E9099F" w:rsidP="00E9099F">
      <w:r>
        <w:t xml:space="preserve">V.G. tem trabalhos publicados na Contemporary Accounting Research, Harvard Business Review, Journal of Accounting and Economics, Journal of Accounting Research, Journal of Cost Management, Journal of Economics and Management Strategy e Management Science. </w:t>
      </w:r>
      <w:r>
        <w:t xml:space="preserve">Ele é membro da American Accounting Association e do Institute of Chartered Accountants da Índia. </w:t>
      </w:r>
      <w:r>
        <w:t>Ele atua no conselho de administração do Leader Bank e no conselho de curadores da Fessenden School.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A88D4EB" w14:textId="77777777" w:rsidR="00E9099F" w:rsidRPr="00E9099F" w:rsidRDefault="00E9099F" w:rsidP="00E9099F">
      <w:pPr/>
    </w:p>
    <w:p w14:paraId="3E5CFFDB" w14:textId="77777777" w:rsidR="00C354EB" w:rsidRDefault="00E9099F">
      <w:r>
        <w:t xml:space="preserve">V.G. tem bacharelado em comércio pela Universidade de Madras e um MBA pelo IIM Ahmedabad da Índia. </w:t>
      </w:r>
      <w:r>
        <w:t>Ele também tem um mestrado em estatística e um mestrado em economia pela Universidade de Stanford, além de doutorado em administração de empresas pela Graduate School of Business da Universidade de Stanford.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9F"/>
    <w:rsid w:val="005248C8"/>
    <w:rsid w:val="00C354EB"/>
    <w:rsid w:val="00E9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92F6F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2014-09-25T15:07:00Z</dcterms:created>
  <dcterms:modified xsi:type="dcterms:W3CDTF">2014-09-25T15:08:00Z</dcterms:modified>
</cp:coreProperties>
</file>