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DA" w:rsidRPr="006271DA" w:rsidRDefault="006271DA" w:rsidP="006271DA">
      <w:r>
        <w:t>Bruce Harreld 现在哈佛商学院任教，主要教授扭亏为盈和战略实施课程。</w:t>
      </w:r>
      <w:r>
        <w:t>他是“在成熟企业内部创建新业务”项目的主讲教授，并经常发表有关企业转型和企业战略的演讲和文章。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71DA" w:rsidRPr="006271DA" w:rsidRDefault="006271DA" w:rsidP="006271DA">
      <w:pPr/>
    </w:p>
    <w:p w:rsidR="006271DA" w:rsidRPr="006271DA" w:rsidRDefault="006271DA" w:rsidP="006271DA">
      <w:r>
        <w:t>在到哈佛商学院任教前，Bruce 曾任 IBM 高级副总裁，负责管理 IBM 的“新兴业务机会”项目，该项目为 IBM 拓展了 20 多项新业务，其中生命科学、Linux、普适计算和数字媒体行业的新业务价值高达数十亿美元。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71DA" w:rsidRPr="006271DA" w:rsidRDefault="006271DA" w:rsidP="006271DA">
      <w:pPr/>
    </w:p>
    <w:p w:rsidR="006271DA" w:rsidRPr="006271DA" w:rsidRDefault="006271DA" w:rsidP="006271DA">
      <w:r>
        <w:t>在加入 IBM 之前，Bruce 曾任 Boston Chicken, Inc. 总裁，也曾在西北大学凯洛格管理学院执教。</w:t>
      </w:r>
      <w:r>
        <w:t xml:space="preserve">他还在卡夫食品公司担任过副总裁和数个部门管理职位。Bruce 与 Charles O'Reilly、Mike Tushman 共同发表的《Organizational Ambidexterity: </w:t>
      </w:r>
      <w:r>
        <w:t>IBM and Emerging Business Opportunities》一文荣获了埃森哲奖。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71DA" w:rsidRPr="006271DA" w:rsidRDefault="006271DA" w:rsidP="006271DA">
      <w:pPr/>
    </w:p>
    <w:p w:rsidR="006271DA" w:rsidRPr="006271DA" w:rsidRDefault="006271DA" w:rsidP="006271DA">
      <w:r>
        <w:t>Bruce 拥有哈佛大学 MBA 和普渡大学工业工程与运营研究学士学位。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DA"/>
    <w:rsid w:val="006271DA"/>
    <w:rsid w:val="00A83324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1DA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1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2014-09-25T18:51:00Z</dcterms:created>
  <dcterms:modified xsi:type="dcterms:W3CDTF">2014-09-25T18:51:00Z</dcterms:modified>
</cp:coreProperties>
</file>