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A9B" w:rsidRPr="00212AA4" w:rsidRDefault="00B170A9" w:rsidP="00B01B26">
      <w:pPr>
        <w:spacing w:line="360" w:lineRule="auto"/>
        <w:rPr>
          <w:rFonts w:ascii="SimSun" w:hAnsi="SimSun"/>
          <w:sz w:val="24"/>
          <w:szCs w:val="24"/>
        </w:rPr>
      </w:pPr>
      <w:r>
        <w:rPr>
          <w:rFonts w:ascii="SimSun" w:hAnsi="SimSun"/>
          <w:sz w:val="24"/>
        </w:rPr>
        <w:t>作为 Fidelity Human Resources 的领导力和组织发展高级副总裁，Larry Kaye 负责领导卓越人才管理中心。</w:t>
      </w:r>
      <w:r>
        <w:rPr>
          <w:rFonts w:ascii="SimSun" w:hAnsi="SimSun"/>
          <w:sz w:val="24"/>
        </w:rPr>
        <w:t>Larry 负责在 Fidelity Investments 的范围内设计、执行和交付领导力发展、人才、继任计划和绩效管理。</w:t>
      </w:r>
      <w:r>
        <w:rPr>
          <w:rFonts w:ascii="SimSun" w:hAnsi="SimSun"/>
          <w:sz w:val="24"/>
        </w:rPr>
        <w:t>在 Fidelity 工作初期，他曾担任 Fidelity Human Resource Services (FHRS) 的客户整备高级副总裁，让主要企业客户做好准备，转换成 Fidelity 的全套人力资源外包系统和服务。</w:t>
      </w:r>
      <w:r>
        <w:rPr>
          <w:rFonts w:ascii="SimSun" w:hAnsi="SimSun"/>
          <w:sz w:val="24"/>
        </w:rPr>
        <w:t>Larry 先前还为 Cap-Gemini Ernst &amp;Young 工作过，负责为全球各地的客户设计和提供组织效率提升计划。</w:t>
      </w:r>
      <w:r>
        <w:rPr>
          <w:rFonts w:ascii="SimSun" w:hAnsi="SimSun"/>
          <w:sz w:val="24"/>
        </w:rPr>
        <w:t>他曾是很多客户的独立顾问，其中包括强生公司、美国航空和美国运通。</w:t>
      </w:r>
      <w:r>
        <w:rPr>
          <w:rFonts w:ascii="SimSun" w:hAnsi="SimSun"/>
          <w:sz w:val="24"/>
        </w:rPr>
        <w:t xml:space="preserve">Larry 拥有布兰迪斯大学的政治科学学士和硕士学位，以及社会学博士学位。  </w:t>
      </w:r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515A9B" w:rsidRPr="00212AA4" w:rsidSect="00EF3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0A9"/>
    <w:rsid w:val="00186C9B"/>
    <w:rsid w:val="00212AA4"/>
    <w:rsid w:val="00464247"/>
    <w:rsid w:val="005853CC"/>
    <w:rsid w:val="00677FBA"/>
    <w:rsid w:val="008F0CAE"/>
    <w:rsid w:val="00934783"/>
    <w:rsid w:val="00B01B26"/>
    <w:rsid w:val="00B170A9"/>
    <w:rsid w:val="00D655B8"/>
    <w:rsid w:val="00DC5251"/>
    <w:rsid w:val="00EF3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zh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0A9"/>
    <w:pPr>
      <w:spacing w:after="140" w:line="240" w:lineRule="auto"/>
    </w:pPr>
    <w:rPr>
      <w:rFonts w:ascii="SimSun" w:eastAsia="SimSun" w:hAnsi="SimSun" w:cs="SimSu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0A9"/>
    <w:pPr>
      <w:spacing w:after="140" w:line="240" w:lineRule="auto"/>
    </w:pPr>
    <w:rPr>
      <w:rFonts w:ascii="Book Antiqua" w:eastAsia="Times New Roman" w:hAnsi="Book Antiqua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Business School Publishing</Company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matthews</dc:creator>
  <cp:lastModifiedBy>Ryder, Allison</cp:lastModifiedBy>
  <cp:revision>2</cp:revision>
  <dcterms:created xsi:type="dcterms:W3CDTF">2011-12-19T21:29:00Z</dcterms:created>
  <dcterms:modified xsi:type="dcterms:W3CDTF">2011-12-19T21:29:00Z</dcterms:modified>
</cp:coreProperties>
</file>