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7F" w:rsidRPr="0072337F" w:rsidRDefault="0072337F" w:rsidP="0072337F">
      <w:r>
        <w:t>Teri Mendelsohn 是 Mendelsohn Consulting, Inc. 的总裁。Mendelsohn Consulting, Inc. 是一家专门从事在线信息产品及其改进产品的创建、实施和发布的公司，其总部位于纽约。</w:t>
      </w:r>
      <w:r>
        <w:t>作为顾问，她能够组织个人项目和开发流程及工具，以便特别为数字信息产品进行资源管理。</w:t>
      </w:r>
      <w:r>
        <w:t>她是哥伦比亚商学院创业参谋计划的实践者。</w:t>
      </w:r>
      <w:r>
        <w:t>Teri 管理敬业度，根据需要引入合作伙伴专家。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337F" w:rsidRPr="0072337F" w:rsidRDefault="0072337F" w:rsidP="0072337F">
      <w:pPr/>
    </w:p>
    <w:p w:rsidR="0072337F" w:rsidRPr="0072337F" w:rsidRDefault="0072337F" w:rsidP="0072337F">
      <w:r>
        <w:t>之前，Teri 曾担任 Ovid Technologies 的临床市场总监。Ovid Technologies 是 Wolters Kluwer 的子公司，是生物医学全文和引用数据库的主要提供商。</w:t>
      </w:r>
      <w:r>
        <w:t>在 Ovid，她担任战略规划与业务发展经理。</w:t>
      </w:r>
      <w:r>
        <w:t>在加入 Ovid 之前，她曾是全球战略咨询公司 Mitchell Madison Group 在媒体实践方面的合伙人。</w:t>
      </w:r>
      <w:r>
        <w:t>在 MIT Press，她曾是 Cognitive Science 的协调编辑，后成为 Philosophy 的助理选稿编辑。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337F" w:rsidRPr="0072337F" w:rsidRDefault="0072337F" w:rsidP="0072337F">
      <w:pPr/>
    </w:p>
    <w:p w:rsidR="0072337F" w:rsidRPr="0072337F" w:rsidRDefault="0072337F" w:rsidP="0072337F">
      <w:r>
        <w:t>Teri 拥有哥伦比亚商学院 MBA 和宾夕法尼亚大学学士学位。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337F" w:rsidRDefault="0072337F" w:rsidP="0072337F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7F"/>
    <w:rsid w:val="0072337F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2014-09-25T23:58:00Z</dcterms:created>
  <dcterms:modified xsi:type="dcterms:W3CDTF">2014-09-25T23:58:00Z</dcterms:modified>
</cp:coreProperties>
</file>