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Урок 10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835.0" w:type="dxa"/>
        <w:jc w:val="left"/>
        <w:tblInd w:w="-3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75"/>
        <w:gridCol w:w="4160"/>
        <w:tblGridChange w:id="0">
          <w:tblGrid>
            <w:gridCol w:w="9675"/>
            <w:gridCol w:w="4160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рівень: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Система контролю за швидкістю руху має наступні характеристики: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50 і менше км/год – система не реагує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 ніж 50, але менше ніж 55 км/год – система видає попередження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 ніж 55, але менше ніж 60 км/год – система випише штраф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більше, ніж 60 км/год – водій отримає штраф та штрафний бал у водійське посвідчення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Швидкість в системі вимірюється цілими значеннями. Який з наборів тестових даних можна використати для перевірки всіх граничних значень еквівалентних класів? 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0, 49, 50, 54, 59, 60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50, 55, 60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49, 50, 54, 55, 60, 62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u w:val="single"/>
                <w:rtl w:val="0"/>
              </w:rPr>
              <w:t xml:space="preserve">50, 51, 55, 56, 60, 61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700.0" w:type="dxa"/>
              <w:jc w:val="left"/>
              <w:tblInd w:w="72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755"/>
              <w:gridCol w:w="1725"/>
              <w:gridCol w:w="1740"/>
              <w:gridCol w:w="1740"/>
              <w:gridCol w:w="1740"/>
              <w:tblGridChange w:id="0">
                <w:tblGrid>
                  <w:gridCol w:w="1755"/>
                  <w:gridCol w:w="1725"/>
                  <w:gridCol w:w="1740"/>
                  <w:gridCol w:w="1740"/>
                  <w:gridCol w:w="17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&lt;=50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51-55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56-60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&gt;60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+++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+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++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B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+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+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+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C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b w:val="1"/>
                      <w:color w:val="3f3f3f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+</w:t>
                  </w: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sz w:val="30"/>
                      <w:szCs w:val="30"/>
                      <w:rtl w:val="0"/>
                    </w:rPr>
                    <w:t xml:space="preserve">+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++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+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+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  <w:rtl w:val="0"/>
                    </w:rPr>
                    <w:t xml:space="preserve">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b w:val="1"/>
                      <w:color w:val="3f3f3f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sz w:val="30"/>
                      <w:szCs w:val="30"/>
                      <w:rtl w:val="0"/>
                    </w:rPr>
                    <w:t xml:space="preserve">+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b w:val="1"/>
                      <w:color w:val="3f3f3f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sz w:val="30"/>
                      <w:szCs w:val="30"/>
                      <w:rtl w:val="0"/>
                    </w:rPr>
                    <w:t xml:space="preserve">++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b w:val="1"/>
                      <w:color w:val="3f3f3f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sz w:val="30"/>
                      <w:szCs w:val="30"/>
                      <w:rtl w:val="0"/>
                    </w:rPr>
                    <w:t xml:space="preserve">++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b w:val="1"/>
                      <w:color w:val="3f3f3f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sz w:val="30"/>
                      <w:szCs w:val="30"/>
                      <w:rtl w:val="0"/>
                    </w:rPr>
                    <w:t xml:space="preserve">+</w:t>
                  </w:r>
                </w:p>
              </w:tc>
            </w:tr>
          </w:tbl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Фітнес застосунок рахує кількість кроків і надсилає користувачам повідомлення, щоб заохотити їх рухатися. В залежності від кількості кроків фідбек буде таким: 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до 1000 кроків включно – “Житель дивана”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1000 до 2000 кроків включно – “Лежибока”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2000 до 4000 кроків включно – “Рухай тілом!”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4000 до 6000 кроків включно – “Непогано!”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Rubik" w:cs="Rubik" w:eastAsia="Rubik" w:hAnsi="Rubik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більше 6000 – “Молодець, так тримати!”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набір тестових даних надасть найкраще покриття класів еквівалентності?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0, 1000, 2000, 3000, 4000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1000, 2001, 4000, 4001, 6000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commentRangeStart w:id="0"/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u w:val="single"/>
                <w:rtl w:val="0"/>
              </w:rPr>
              <w:t xml:space="preserve">123, 2345, 3456, 4567, 5678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u w:val="singl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u w:val="single"/>
                <w:rtl w:val="0"/>
              </w:rPr>
              <w:t xml:space="preserve">666, 999, 2222, 5555, 6666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 (виправлено)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Пристрій, що вимірює час та інтенсивність сонячного світла, яке отримала рослина, рахує комбінацію параметрів – час на сонці (менше ніж 3 години, від 3 до 6 годин та понад 6 годин) та інтенсивність світла (дуже низька, низька, середня, висока). 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наступний набір тестів: 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6495.0" w:type="dxa"/>
              <w:jc w:val="left"/>
              <w:tblInd w:w="109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75"/>
              <w:gridCol w:w="1125"/>
              <w:gridCol w:w="1860"/>
              <w:gridCol w:w="2535"/>
              <w:tblGridChange w:id="0">
                <w:tblGrid>
                  <w:gridCol w:w="975"/>
                  <w:gridCol w:w="1125"/>
                  <w:gridCol w:w="1860"/>
                  <w:gridCol w:w="25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Години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Інтенсивність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Індекс опромінення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середня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60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0,5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</w:tbl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Яка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мінімальна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кількість додаткових тест-кейсів потрібна, щоб упевнитися, що всі валідні класи еквівалентності покриті?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u w:val="singl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Застосунок для відтворення відео має вимоги. Застосунок буде працювати на пристроях з такою розподільчою здатністю: 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640x480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1280x720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1600x1200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1920x1080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тест-кейс є результатом застосування техніки розподілення на класи еквівалентності? Обгрунтуй свою відповідь.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1920х1080 (1 тест-кейс)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640х480 та 1920х1080 (2 тест-кейси)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u w:val="single"/>
                <w:rtl w:val="0"/>
              </w:rPr>
              <w:t xml:space="preserve">Перевірити, що застосунок відтворює відео на дисплеях всіх розмірів, вказаних у вимогах (4 тест-кейси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Це 4 різних класа розподільної здатності, перевірка будь-якого одного не дає гарантії, що це буде на трьох інших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будь-якого розміру, що вказані у вимогах (1 тест-кейс)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0.12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двох попередніх рівнів.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Напиши вимоги для застосунку, які б регламентували мінімальний та максимальний розмір фотографії, що користувачі можуть завантажити в систему. А також такі параметри: мінімальна довжина коментаря під фотографіями, максимальна довжина коментаря під фотографіями (чим більше параметрів ти придумаєш, тим краще).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Напиши тест-кейси, які за допомогою розділення на класи еквівалентності та аналіз граничних значень, дозволять перевірити ці вимоги.</w:t>
            </w:r>
          </w:p>
        </w:tc>
      </w:tr>
    </w:tbl>
    <w:p w:rsidR="00000000" w:rsidDel="00000000" w:rsidP="00000000" w:rsidRDefault="00000000" w:rsidRPr="00000000" w14:paraId="0000006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rPr/>
      </w:pPr>
      <w:r w:rsidDel="00000000" w:rsidR="00000000" w:rsidRPr="00000000">
        <w:rPr>
          <w:rtl w:val="0"/>
        </w:rPr>
        <w:t xml:space="preserve">Вимоги:</w:t>
      </w:r>
    </w:p>
    <w:p w:rsidR="00000000" w:rsidDel="00000000" w:rsidP="00000000" w:rsidRDefault="00000000" w:rsidRPr="00000000" w14:paraId="00000070">
      <w:pPr>
        <w:spacing w:line="360" w:lineRule="auto"/>
        <w:rPr/>
      </w:pPr>
      <w:r w:rsidDel="00000000" w:rsidR="00000000" w:rsidRPr="00000000">
        <w:rPr>
          <w:rtl w:val="0"/>
        </w:rPr>
        <w:t xml:space="preserve">Фото</w:t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Мінімальний розмір 4 Мб</w:t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Максимальний до 30 Мб</w:t>
      </w:r>
    </w:p>
    <w:p w:rsidR="00000000" w:rsidDel="00000000" w:rsidP="00000000" w:rsidRDefault="00000000" w:rsidRPr="00000000" w14:paraId="00000073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Довжина коментаря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Мінімальна - 10 символів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Максимальна - 50 символів</w:t>
      </w:r>
    </w:p>
    <w:p w:rsidR="00000000" w:rsidDel="00000000" w:rsidP="00000000" w:rsidRDefault="00000000" w:rsidRPr="00000000" w14:paraId="00000076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Тести:</w:t>
      </w:r>
    </w:p>
    <w:p w:rsidR="00000000" w:rsidDel="00000000" w:rsidP="00000000" w:rsidRDefault="00000000" w:rsidRPr="00000000" w14:paraId="00000077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5070"/>
        <w:gridCol w:w="3000"/>
        <w:tblGridChange w:id="0">
          <w:tblGrid>
            <w:gridCol w:w="930"/>
            <w:gridCol w:w="5070"/>
            <w:gridCol w:w="3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Номер тесту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Опис тесту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Очікуваний 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Фото розміром 3 Мб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Warning message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Фото розміром 4 Мб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Download photo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Фото розміром 30 Мб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Download photo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Фото розміром 31 Мб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Warning message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Довжина коментаря 9 символів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Warning message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Довжина коментаря 10 символів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Download message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Довжина коментаря 50 символів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Download message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Довжина коментаря 51 символів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Warning message</w:t>
            </w:r>
          </w:p>
        </w:tc>
      </w:tr>
    </w:tbl>
    <w:p w:rsidR="00000000" w:rsidDel="00000000" w:rsidP="00000000" w:rsidRDefault="00000000" w:rsidRPr="00000000" w14:paraId="00000093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asyl Suberliak" w:id="0" w:date="2023-04-10T15:36:29Z"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невірно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ubi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-regular.ttf"/><Relationship Id="rId2" Type="http://schemas.openxmlformats.org/officeDocument/2006/relationships/font" Target="fonts/Rubik-bold.ttf"/><Relationship Id="rId3" Type="http://schemas.openxmlformats.org/officeDocument/2006/relationships/font" Target="fonts/Rubik-italic.ttf"/><Relationship Id="rId4" Type="http://schemas.openxmlformats.org/officeDocument/2006/relationships/font" Target="fonts/Rubik-boldItalic.ttf"/><Relationship Id="rId5" Type="http://schemas.openxmlformats.org/officeDocument/2006/relationships/font" Target="fonts/NunitoSans-regular.ttf"/><Relationship Id="rId6" Type="http://schemas.openxmlformats.org/officeDocument/2006/relationships/font" Target="fonts/NunitoSans-bold.ttf"/><Relationship Id="rId7" Type="http://schemas.openxmlformats.org/officeDocument/2006/relationships/font" Target="fonts/NunitoSans-italic.ttf"/><Relationship Id="rId8" Type="http://schemas.openxmlformats.org/officeDocument/2006/relationships/font" Target="fonts/Nuni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