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Filling the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Linking tables by key.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Theinformation from the Shopping_List table (created earlier) about the most expensive and cheapest product.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the average cost of products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of the number of products in the refrigerator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33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Calculation of the number of products in the shopping list (from the Shopping_List table)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117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There are all products starting with the letter A from the Shopping_List table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products from the shopping list that are already in the refrigerator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that are not in the refrigerator and need to be bought (from the Shopping_List and Fridge tables)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There are all products from the Order table that are in the Shopping_List table and have expired.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