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RuleForge V1.0 项目规划与参赛实施方案</w:t>
      </w:r>
    </w:p>
    <w:p>
      <w:r/>
      <w:r>
        <w:rPr>
          <w:b/>
        </w:rPr>
        <w:t>副标题：基于 TextIn xParse 的 D&amp;D 5E SRD 5.1 可执行规则引擎</w:t>
      </w:r>
      <w:r/>
    </w:p>
    <w:p>
      <w:r/>
      <w:r>
        <w:rPr>
          <w:b/>
        </w:rPr>
        <w:t>文档版本：V1.0 ｜整理日期：2026-10-08｜项目阶段：参赛开发规划</w:t>
      </w:r>
      <w:r/>
    </w:p>
    <w:p>
      <w:pPr>
        <w:pStyle w:val="Quote"/>
      </w:pPr>
      <w:r>
        <w:t>核心定位：把静态规则书转换为可检索、可追溯、可计算、可执行、可扩展的 TRPG 辅助系统。目标参加 TextIn xParse「文档觉醒」AI 应用创新赛·脑洞创意赛道。</w:t>
      </w:r>
    </w:p>
    <w:p>
      <w:pPr>
        <w:pStyle w:val="Heading1"/>
      </w:pPr>
      <w:r>
        <w:t>1. 项目概览</w:t>
      </w:r>
    </w:p>
    <w:tbl>
      <w:tblPr>
        <w:tblStyle w:val="LightShading-Accent1"/>
        <w:tblW w:type="auto" w:w="0"/>
        <w:jc w:val="center"/>
        <w:tblLook w:firstColumn="1" w:firstRow="1" w:lastColumn="0" w:lastRow="0" w:noHBand="0" w:noVBand="1" w:val="04A0"/>
      </w:tblPr>
      <w:tblGrid>
        <w:gridCol w:w="4844"/>
        <w:gridCol w:w="4844"/>
      </w:tblGrid>
      <w:tr>
        <w:tc>
          <w:tcPr>
            <w:tcW w:type="dxa" w:w="4844"/>
            <w:vAlign w:val="center"/>
          </w:tcPr>
          <w:p>
            <w:pPr>
              <w:spacing w:after="20"/>
            </w:pPr>
            <w:r>
              <w:rPr>
                <w:sz w:val="16"/>
              </w:rPr>
              <w:t>项目字段</w:t>
            </w:r>
          </w:p>
        </w:tc>
        <w:tc>
          <w:tcPr>
            <w:tcW w:type="dxa" w:w="4844"/>
            <w:vAlign w:val="center"/>
          </w:tcPr>
          <w:p>
            <w:pPr>
              <w:spacing w:after="20"/>
            </w:pPr>
            <w:r>
              <w:rPr>
                <w:sz w:val="16"/>
              </w:rPr>
              <w:t>内容</w:t>
            </w:r>
          </w:p>
        </w:tc>
      </w:tr>
      <w:tr>
        <w:tc>
          <w:tcPr>
            <w:tcW w:type="dxa" w:w="4844"/>
            <w:vAlign w:val="center"/>
          </w:tcPr>
          <w:p>
            <w:pPr>
              <w:spacing w:after="20"/>
            </w:pPr>
            <w:r>
              <w:rPr>
                <w:sz w:val="16"/>
              </w:rPr>
              <w:t>项目名称</w:t>
            </w:r>
          </w:p>
        </w:tc>
        <w:tc>
          <w:tcPr>
            <w:tcW w:type="dxa" w:w="4844"/>
            <w:vAlign w:val="center"/>
          </w:tcPr>
          <w:p>
            <w:pPr>
              <w:spacing w:after="20"/>
            </w:pPr>
            <w:r>
              <w:rPr>
                <w:sz w:val="16"/>
              </w:rPr>
              <w:t>RuleForge</w:t>
            </w:r>
          </w:p>
        </w:tc>
      </w:tr>
      <w:tr>
        <w:tc>
          <w:tcPr>
            <w:tcW w:type="dxa" w:w="4844"/>
            <w:vAlign w:val="center"/>
          </w:tcPr>
          <w:p>
            <w:pPr>
              <w:spacing w:after="20"/>
            </w:pPr>
            <w:r>
              <w:rPr>
                <w:sz w:val="16"/>
              </w:rPr>
              <w:t>首版规则</w:t>
            </w:r>
          </w:p>
        </w:tc>
        <w:tc>
          <w:tcPr>
            <w:tcW w:type="dxa" w:w="4844"/>
            <w:vAlign w:val="center"/>
          </w:tcPr>
          <w:p>
            <w:pPr>
              <w:spacing w:after="20"/>
            </w:pPr>
            <w:r>
              <w:rPr>
                <w:sz w:val="16"/>
              </w:rPr>
              <w:t>D&amp;D 5E SRD 5.1（2014 规则体系，不混用 SRD 5.2）</w:t>
            </w:r>
          </w:p>
        </w:tc>
      </w:tr>
      <w:tr>
        <w:tc>
          <w:tcPr>
            <w:tcW w:type="dxa" w:w="4844"/>
            <w:vAlign w:val="center"/>
          </w:tcPr>
          <w:p>
            <w:pPr>
              <w:spacing w:after="20"/>
            </w:pPr>
            <w:r>
              <w:rPr>
                <w:sz w:val="16"/>
              </w:rPr>
              <w:t>核心用户</w:t>
            </w:r>
          </w:p>
        </w:tc>
        <w:tc>
          <w:tcPr>
            <w:tcW w:type="dxa" w:w="4844"/>
            <w:vAlign w:val="center"/>
          </w:tcPr>
          <w:p>
            <w:pPr>
              <w:spacing w:after="20"/>
            </w:pPr>
            <w:r>
              <w:rPr>
                <w:sz w:val="16"/>
              </w:rPr>
              <w:t>玩家 PL、地下城主 DM</w:t>
            </w:r>
          </w:p>
        </w:tc>
      </w:tr>
      <w:tr>
        <w:tc>
          <w:tcPr>
            <w:tcW w:type="dxa" w:w="4844"/>
            <w:vAlign w:val="center"/>
          </w:tcPr>
          <w:p>
            <w:pPr>
              <w:spacing w:after="20"/>
            </w:pPr>
            <w:r>
              <w:rPr>
                <w:sz w:val="16"/>
              </w:rPr>
              <w:t>核心模块</w:t>
            </w:r>
          </w:p>
        </w:tc>
        <w:tc>
          <w:tcPr>
            <w:tcW w:type="dxa" w:w="4844"/>
            <w:vAlign w:val="center"/>
          </w:tcPr>
          <w:p>
            <w:pPr>
              <w:spacing w:after="20"/>
            </w:pPr>
            <w:r>
              <w:rPr>
                <w:sz w:val="16"/>
              </w:rPr>
              <w:t>文档解析、规则速查、基础人物创建、完整战斗流程、自定义规则导入</w:t>
            </w:r>
          </w:p>
        </w:tc>
      </w:tr>
      <w:tr>
        <w:tc>
          <w:tcPr>
            <w:tcW w:type="dxa" w:w="4844"/>
            <w:vAlign w:val="center"/>
          </w:tcPr>
          <w:p>
            <w:pPr>
              <w:spacing w:after="20"/>
            </w:pPr>
            <w:r>
              <w:rPr>
                <w:sz w:val="16"/>
              </w:rPr>
              <w:t>技术路线</w:t>
            </w:r>
          </w:p>
        </w:tc>
        <w:tc>
          <w:tcPr>
            <w:tcW w:type="dxa" w:w="4844"/>
            <w:vAlign w:val="center"/>
          </w:tcPr>
          <w:p>
            <w:pPr>
              <w:spacing w:after="20"/>
            </w:pPr>
            <w:r>
              <w:rPr>
                <w:sz w:val="16"/>
              </w:rPr>
              <w:t>TextIn xParse + Codex + FastAPI + Python 规则引擎 + React + SQLite</w:t>
            </w:r>
          </w:p>
        </w:tc>
      </w:tr>
      <w:tr>
        <w:tc>
          <w:tcPr>
            <w:tcW w:type="dxa" w:w="4844"/>
            <w:vAlign w:val="center"/>
          </w:tcPr>
          <w:p>
            <w:pPr>
              <w:spacing w:after="20"/>
            </w:pPr>
            <w:r>
              <w:rPr>
                <w:sz w:val="16"/>
              </w:rPr>
              <w:t>部署形态</w:t>
            </w:r>
          </w:p>
        </w:tc>
        <w:tc>
          <w:tcPr>
            <w:tcW w:type="dxa" w:w="4844"/>
            <w:vAlign w:val="center"/>
          </w:tcPr>
          <w:p>
            <w:pPr>
              <w:spacing w:after="20"/>
            </w:pPr>
            <w:r>
              <w:rPr>
                <w:sz w:val="16"/>
              </w:rPr>
              <w:t>本地优先、支持部署的 Web 应用</w:t>
            </w:r>
          </w:p>
        </w:tc>
      </w:tr>
      <w:tr>
        <w:tc>
          <w:tcPr>
            <w:tcW w:type="dxa" w:w="4844"/>
            <w:vAlign w:val="center"/>
          </w:tcPr>
          <w:p>
            <w:pPr>
              <w:spacing w:after="20"/>
            </w:pPr>
            <w:r>
              <w:rPr>
                <w:sz w:val="16"/>
              </w:rPr>
              <w:t>比赛截止</w:t>
            </w:r>
          </w:p>
        </w:tc>
        <w:tc>
          <w:tcPr>
            <w:tcW w:type="dxa" w:w="4844"/>
            <w:vAlign w:val="center"/>
          </w:tcPr>
          <w:p>
            <w:pPr>
              <w:spacing w:after="20"/>
            </w:pPr>
            <w:r>
              <w:rPr>
                <w:sz w:val="16"/>
              </w:rPr>
              <w:t>2026-10-28 23:59:59</w:t>
            </w:r>
          </w:p>
        </w:tc>
      </w:tr>
      <w:tr>
        <w:tc>
          <w:tcPr>
            <w:tcW w:type="dxa" w:w="4844"/>
            <w:vAlign w:val="center"/>
          </w:tcPr>
          <w:p>
            <w:pPr>
              <w:spacing w:after="20"/>
            </w:pPr>
            <w:r>
              <w:rPr>
                <w:sz w:val="16"/>
              </w:rPr>
              <w:t>建议冻结</w:t>
            </w:r>
          </w:p>
        </w:tc>
        <w:tc>
          <w:tcPr>
            <w:tcW w:type="dxa" w:w="4844"/>
            <w:vAlign w:val="center"/>
          </w:tcPr>
          <w:p>
            <w:pPr>
              <w:spacing w:after="20"/>
            </w:pPr>
            <w:r>
              <w:rPr>
                <w:sz w:val="16"/>
              </w:rPr>
              <w:t>2026-10-23</w:t>
            </w:r>
          </w:p>
        </w:tc>
      </w:tr>
    </w:tbl>
    <w:p>
      <w:pPr>
        <w:pStyle w:val="Heading2"/>
      </w:pPr>
      <w:r>
        <w:t>1.1 首版产品承诺</w:t>
      </w:r>
    </w:p>
    <w:p>
      <w:r>
        <w:t>首版实现“流程完整”，即遭遇创建→先攻排序→回合推进→行动声明→判定与效果结算→结束战斗→生成日志；不承诺 SRD 5.1 所有特殊能力、法术、反应都自动判定。未覆盖的机制必须提供规则检索、DM 手动裁定和日志记录，不能假装自动支持。</w:t>
      </w:r>
    </w:p>
    <w:p>
      <w:pPr>
        <w:pStyle w:val="Heading2"/>
      </w:pPr>
      <w:r>
        <w:t>1.2 核心创新</w:t>
      </w:r>
    </w:p>
    <w:p>
      <w:pPr>
        <w:pStyle w:val="ListNumber"/>
      </w:pPr>
      <w:r/>
      <w:r>
        <w:rPr>
          <w:b/>
        </w:rPr>
        <w:t>规则可执行化</w:t>
      </w:r>
      <w:r>
        <w:t>：xParse 将 PDF 提取为内容与表格；经过结构化、验证、规则编译，进入确定性执行引擎。</w:t>
      </w:r>
    </w:p>
    <w:p>
      <w:pPr>
        <w:pStyle w:val="ListNumber"/>
      </w:pPr>
      <w:r/>
      <w:r>
        <w:rPr>
          <w:b/>
        </w:rPr>
        <w:t>计算可溯源</w:t>
      </w:r>
      <w:r>
        <w:t>：每次 AC、命中、伤害、豁免或状态改变，记录触发规则、计算式、掷骰结果和原文出处。</w:t>
      </w:r>
    </w:p>
    <w:p>
      <w:pPr>
        <w:pStyle w:val="ListNumber"/>
      </w:pPr>
      <w:r/>
      <w:r>
        <w:rPr>
          <w:b/>
        </w:rPr>
        <w:t>规则动态扩展</w:t>
      </w:r>
      <w:r>
        <w:t>：DM 上传自定义（Homebrew）规则文档，解析、审核后加入知识库，并在受限模板范围内参与运算。</w:t>
      </w:r>
    </w:p>
    <w:p>
      <w:pPr>
        <w:pStyle w:val="Heading1"/>
      </w:pPr>
      <w:r>
        <w:t>2. 产品功能规格与优先级</w:t>
      </w:r>
    </w:p>
    <w:p>
      <w:r/>
      <w:r>
        <w:rPr>
          <w:b/>
        </w:rPr>
        <w:t>优先级定义：</w:t>
      </w:r>
      <w:r>
        <w:t xml:space="preserve"> P0 = 参赛版必需；P1 = 有余力完成；P2 = 赛后扩展。</w:t>
      </w:r>
    </w:p>
    <w:p>
      <w:pPr>
        <w:pStyle w:val="Heading2"/>
      </w:pPr>
      <w:r>
        <w:t>2.1 A 模块：SRD 文档解析与规则知识库</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vAlign w:val="center"/>
          </w:tcPr>
          <w:p>
            <w:pPr>
              <w:spacing w:after="20"/>
            </w:pPr>
            <w:r>
              <w:rPr>
                <w:sz w:val="16"/>
              </w:rPr>
              <w:t>功能</w:t>
            </w:r>
          </w:p>
        </w:tc>
        <w:tc>
          <w:tcPr>
            <w:tcW w:type="dxa" w:w="3229"/>
            <w:vAlign w:val="center"/>
          </w:tcPr>
          <w:p>
            <w:pPr>
              <w:spacing w:after="20"/>
            </w:pPr>
            <w:r>
              <w:rPr>
                <w:sz w:val="16"/>
              </w:rPr>
              <w:t>优先级</w:t>
            </w:r>
          </w:p>
        </w:tc>
        <w:tc>
          <w:tcPr>
            <w:tcW w:type="dxa" w:w="3229"/>
            <w:vAlign w:val="center"/>
          </w:tcPr>
          <w:p>
            <w:pPr>
              <w:spacing w:after="20"/>
            </w:pPr>
            <w:r>
              <w:rPr>
                <w:sz w:val="16"/>
              </w:rPr>
              <w:t>验收产物</w:t>
            </w:r>
          </w:p>
        </w:tc>
      </w:tr>
      <w:tr>
        <w:tc>
          <w:tcPr>
            <w:tcW w:type="dxa" w:w="3229"/>
            <w:vAlign w:val="center"/>
          </w:tcPr>
          <w:p>
            <w:pPr>
              <w:spacing w:after="20"/>
            </w:pPr>
            <w:r>
              <w:rPr>
                <w:sz w:val="16"/>
              </w:rPr>
              <w:t>官方 SRD 5.1 PDF 导入与解析任务</w:t>
            </w:r>
          </w:p>
        </w:tc>
        <w:tc>
          <w:tcPr>
            <w:tcW w:type="dxa" w:w="3229"/>
            <w:vAlign w:val="center"/>
          </w:tcPr>
          <w:p>
            <w:pPr>
              <w:spacing w:after="20"/>
            </w:pPr>
            <w:r>
              <w:rPr>
                <w:sz w:val="16"/>
              </w:rPr>
              <w:t>P0</w:t>
            </w:r>
          </w:p>
        </w:tc>
        <w:tc>
          <w:tcPr>
            <w:tcW w:type="dxa" w:w="3229"/>
            <w:vAlign w:val="center"/>
          </w:tcPr>
          <w:p>
            <w:pPr>
              <w:spacing w:after="20"/>
            </w:pPr>
            <w:r>
              <w:rPr>
                <w:sz w:val="16"/>
              </w:rPr>
              <w:t>文档、任务记录</w:t>
            </w:r>
          </w:p>
        </w:tc>
      </w:tr>
      <w:tr>
        <w:tc>
          <w:tcPr>
            <w:tcW w:type="dxa" w:w="3229"/>
            <w:vAlign w:val="center"/>
          </w:tcPr>
          <w:p>
            <w:pPr>
              <w:spacing w:after="20"/>
            </w:pPr>
            <w:r>
              <w:rPr>
                <w:sz w:val="16"/>
              </w:rPr>
              <w:t>xParse Markdown/JSON 真实解析</w:t>
            </w:r>
          </w:p>
        </w:tc>
        <w:tc>
          <w:tcPr>
            <w:tcW w:type="dxa" w:w="3229"/>
            <w:vAlign w:val="center"/>
          </w:tcPr>
          <w:p>
            <w:pPr>
              <w:spacing w:after="20"/>
            </w:pPr>
            <w:r>
              <w:rPr>
                <w:sz w:val="16"/>
              </w:rPr>
              <w:t>P0</w:t>
            </w:r>
          </w:p>
        </w:tc>
        <w:tc>
          <w:tcPr>
            <w:tcW w:type="dxa" w:w="3229"/>
            <w:vAlign w:val="center"/>
          </w:tcPr>
          <w:p>
            <w:pPr>
              <w:spacing w:after="20"/>
            </w:pPr>
            <w:r>
              <w:rPr>
                <w:sz w:val="16"/>
              </w:rPr>
              <w:t>真实响应、日志、解析产物</w:t>
            </w:r>
          </w:p>
        </w:tc>
      </w:tr>
      <w:tr>
        <w:tc>
          <w:tcPr>
            <w:tcW w:type="dxa" w:w="3229"/>
            <w:vAlign w:val="center"/>
          </w:tcPr>
          <w:p>
            <w:pPr>
              <w:spacing w:after="20"/>
            </w:pPr>
            <w:r>
              <w:rPr>
                <w:sz w:val="16"/>
              </w:rPr>
              <w:t>章节、条目、表格抽取</w:t>
            </w:r>
          </w:p>
        </w:tc>
        <w:tc>
          <w:tcPr>
            <w:tcW w:type="dxa" w:w="3229"/>
            <w:vAlign w:val="center"/>
          </w:tcPr>
          <w:p>
            <w:pPr>
              <w:spacing w:after="20"/>
            </w:pPr>
            <w:r>
              <w:rPr>
                <w:sz w:val="16"/>
              </w:rPr>
              <w:t>P0</w:t>
            </w:r>
          </w:p>
        </w:tc>
        <w:tc>
          <w:tcPr>
            <w:tcW w:type="dxa" w:w="3229"/>
            <w:vAlign w:val="center"/>
          </w:tcPr>
          <w:p>
            <w:pPr>
              <w:spacing w:after="20"/>
            </w:pPr>
            <w:r>
              <w:rPr>
                <w:sz w:val="16"/>
              </w:rPr>
              <w:t>装备、职业、法术和战斗条目</w:t>
            </w:r>
          </w:p>
        </w:tc>
      </w:tr>
      <w:tr>
        <w:tc>
          <w:tcPr>
            <w:tcW w:type="dxa" w:w="3229"/>
            <w:vAlign w:val="center"/>
          </w:tcPr>
          <w:p>
            <w:pPr>
              <w:spacing w:after="20"/>
            </w:pPr>
            <w:r>
              <w:rPr>
                <w:sz w:val="16"/>
              </w:rPr>
              <w:t>文档、章节、页码及原文关联</w:t>
            </w:r>
          </w:p>
        </w:tc>
        <w:tc>
          <w:tcPr>
            <w:tcW w:type="dxa" w:w="3229"/>
            <w:vAlign w:val="center"/>
          </w:tcPr>
          <w:p>
            <w:pPr>
              <w:spacing w:after="20"/>
            </w:pPr>
            <w:r>
              <w:rPr>
                <w:sz w:val="16"/>
              </w:rPr>
              <w:t>P0</w:t>
            </w:r>
          </w:p>
        </w:tc>
        <w:tc>
          <w:tcPr>
            <w:tcW w:type="dxa" w:w="3229"/>
            <w:vAlign w:val="center"/>
          </w:tcPr>
          <w:p>
            <w:pPr>
              <w:spacing w:after="20"/>
            </w:pPr>
            <w:r>
              <w:rPr>
                <w:sz w:val="16"/>
              </w:rPr>
              <w:t>来源可追溯的条目</w:t>
            </w:r>
          </w:p>
        </w:tc>
      </w:tr>
      <w:tr>
        <w:tc>
          <w:tcPr>
            <w:tcW w:type="dxa" w:w="3229"/>
            <w:vAlign w:val="center"/>
          </w:tcPr>
          <w:p>
            <w:pPr>
              <w:spacing w:after="20"/>
            </w:pPr>
            <w:r>
              <w:rPr>
                <w:sz w:val="16"/>
              </w:rPr>
              <w:t>Schema 校验和人工复核标记</w:t>
            </w:r>
          </w:p>
        </w:tc>
        <w:tc>
          <w:tcPr>
            <w:tcW w:type="dxa" w:w="3229"/>
            <w:vAlign w:val="center"/>
          </w:tcPr>
          <w:p>
            <w:pPr>
              <w:spacing w:after="20"/>
            </w:pPr>
            <w:r>
              <w:rPr>
                <w:sz w:val="16"/>
              </w:rPr>
              <w:t>P0</w:t>
            </w:r>
          </w:p>
        </w:tc>
        <w:tc>
          <w:tcPr>
            <w:tcW w:type="dxa" w:w="3229"/>
            <w:vAlign w:val="center"/>
          </w:tcPr>
          <w:p>
            <w:pPr>
              <w:spacing w:after="20"/>
            </w:pPr>
            <w:r>
              <w:rPr>
                <w:sz w:val="16"/>
              </w:rPr>
              <w:t>规则数据状态与错误报告</w:t>
            </w:r>
          </w:p>
        </w:tc>
      </w:tr>
      <w:tr>
        <w:tc>
          <w:tcPr>
            <w:tcW w:type="dxa" w:w="3229"/>
            <w:vAlign w:val="center"/>
          </w:tcPr>
          <w:p>
            <w:pPr>
              <w:spacing w:after="20"/>
            </w:pPr>
            <w:r>
              <w:rPr>
                <w:sz w:val="16"/>
              </w:rPr>
              <w:t>规则版本管理（srd-5.1）</w:t>
            </w:r>
          </w:p>
        </w:tc>
        <w:tc>
          <w:tcPr>
            <w:tcW w:type="dxa" w:w="3229"/>
            <w:vAlign w:val="center"/>
          </w:tcPr>
          <w:p>
            <w:pPr>
              <w:spacing w:after="20"/>
            </w:pPr>
            <w:r>
              <w:rPr>
                <w:sz w:val="16"/>
              </w:rPr>
              <w:t>P0</w:t>
            </w:r>
          </w:p>
        </w:tc>
        <w:tc>
          <w:tcPr>
            <w:tcW w:type="dxa" w:w="3229"/>
            <w:vAlign w:val="center"/>
          </w:tcPr>
          <w:p>
            <w:pPr>
              <w:spacing w:after="20"/>
            </w:pPr>
            <w:r>
              <w:rPr>
                <w:sz w:val="16"/>
              </w:rPr>
              <w:t>独立版本命名空间</w:t>
            </w:r>
          </w:p>
        </w:tc>
      </w:tr>
      <w:tr>
        <w:tc>
          <w:tcPr>
            <w:tcW w:type="dxa" w:w="3229"/>
            <w:vAlign w:val="center"/>
          </w:tcPr>
          <w:p>
            <w:pPr>
              <w:spacing w:after="20"/>
            </w:pPr>
            <w:r>
              <w:rPr>
                <w:sz w:val="16"/>
              </w:rPr>
              <w:t>多文档批量导入</w:t>
            </w:r>
          </w:p>
        </w:tc>
        <w:tc>
          <w:tcPr>
            <w:tcW w:type="dxa" w:w="3229"/>
            <w:vAlign w:val="center"/>
          </w:tcPr>
          <w:p>
            <w:pPr>
              <w:spacing w:after="20"/>
            </w:pPr>
            <w:r>
              <w:rPr>
                <w:sz w:val="16"/>
              </w:rPr>
              <w:t>P1</w:t>
            </w:r>
          </w:p>
        </w:tc>
        <w:tc>
          <w:tcPr>
            <w:tcW w:type="dxa" w:w="3229"/>
            <w:vAlign w:val="center"/>
          </w:tcPr>
          <w:p>
            <w:pPr>
              <w:spacing w:after="20"/>
            </w:pPr>
            <w:r>
              <w:rPr>
                <w:sz w:val="16"/>
              </w:rPr>
              <w:t>批量处理与去重</w:t>
            </w:r>
          </w:p>
        </w:tc>
      </w:tr>
    </w:tbl>
    <w:p>
      <w:r>
        <w:t>验收：参赛演示所用规则均能追溯到解析后的真实 SRD 源文档；不存在为满足演示而伪造的解析响应或页码。</w:t>
      </w:r>
    </w:p>
    <w:p>
      <w:pPr>
        <w:pStyle w:val="Heading2"/>
      </w:pPr>
      <w:r>
        <w:t>2.2 B 模块：规则速查</w:t>
      </w:r>
    </w:p>
    <w:tbl>
      <w:tblPr>
        <w:tblStyle w:val="LightShading-Accent1"/>
        <w:tblW w:type="auto" w:w="0"/>
        <w:jc w:val="center"/>
        <w:tblLook w:firstColumn="1" w:firstRow="1" w:lastColumn="0" w:lastRow="0" w:noHBand="0" w:noVBand="1" w:val="04A0"/>
      </w:tblPr>
      <w:tblGrid>
        <w:gridCol w:w="4844"/>
        <w:gridCol w:w="4844"/>
      </w:tblGrid>
      <w:tr>
        <w:tc>
          <w:tcPr>
            <w:tcW w:type="dxa" w:w="4844"/>
            <w:vAlign w:val="center"/>
          </w:tcPr>
          <w:p>
            <w:pPr>
              <w:spacing w:after="20"/>
            </w:pPr>
            <w:r>
              <w:rPr>
                <w:sz w:val="16"/>
              </w:rPr>
              <w:t>功能</w:t>
            </w:r>
          </w:p>
        </w:tc>
        <w:tc>
          <w:tcPr>
            <w:tcW w:type="dxa" w:w="4844"/>
            <w:vAlign w:val="center"/>
          </w:tcPr>
          <w:p>
            <w:pPr>
              <w:spacing w:after="20"/>
            </w:pPr>
            <w:r>
              <w:rPr>
                <w:sz w:val="16"/>
              </w:rPr>
              <w:t>优先级</w:t>
            </w:r>
          </w:p>
        </w:tc>
      </w:tr>
      <w:tr>
        <w:tc>
          <w:tcPr>
            <w:tcW w:type="dxa" w:w="4844"/>
            <w:vAlign w:val="center"/>
          </w:tcPr>
          <w:p>
            <w:pPr>
              <w:spacing w:after="20"/>
            </w:pPr>
            <w:r>
              <w:rPr>
                <w:sz w:val="16"/>
              </w:rPr>
              <w:t>关键词搜索、全文索引</w:t>
            </w:r>
          </w:p>
        </w:tc>
        <w:tc>
          <w:tcPr>
            <w:tcW w:type="dxa" w:w="4844"/>
            <w:vAlign w:val="center"/>
          </w:tcPr>
          <w:p>
            <w:pPr>
              <w:spacing w:after="20"/>
            </w:pPr>
            <w:r>
              <w:rPr>
                <w:sz w:val="16"/>
              </w:rPr>
              <w:t>P0</w:t>
            </w:r>
          </w:p>
        </w:tc>
      </w:tr>
      <w:tr>
        <w:tc>
          <w:tcPr>
            <w:tcW w:type="dxa" w:w="4844"/>
            <w:vAlign w:val="center"/>
          </w:tcPr>
          <w:p>
            <w:pPr>
              <w:spacing w:after="20"/>
            </w:pPr>
            <w:r>
              <w:rPr>
                <w:sz w:val="16"/>
              </w:rPr>
              <w:t>自然语言问题理解及带证据回答</w:t>
            </w:r>
          </w:p>
        </w:tc>
        <w:tc>
          <w:tcPr>
            <w:tcW w:type="dxa" w:w="4844"/>
            <w:vAlign w:val="center"/>
          </w:tcPr>
          <w:p>
            <w:pPr>
              <w:spacing w:after="20"/>
            </w:pPr>
            <w:r>
              <w:rPr>
                <w:sz w:val="16"/>
              </w:rPr>
              <w:t>P0</w:t>
            </w:r>
          </w:p>
        </w:tc>
      </w:tr>
      <w:tr>
        <w:tc>
          <w:tcPr>
            <w:tcW w:type="dxa" w:w="4844"/>
            <w:vAlign w:val="center"/>
          </w:tcPr>
          <w:p>
            <w:pPr>
              <w:spacing w:after="20"/>
            </w:pPr>
            <w:r>
              <w:rPr>
                <w:sz w:val="16"/>
              </w:rPr>
              <w:t>战斗、装备、职业、法术等分类浏览</w:t>
            </w:r>
          </w:p>
        </w:tc>
        <w:tc>
          <w:tcPr>
            <w:tcW w:type="dxa" w:w="4844"/>
            <w:vAlign w:val="center"/>
          </w:tcPr>
          <w:p>
            <w:pPr>
              <w:spacing w:after="20"/>
            </w:pPr>
            <w:r>
              <w:rPr>
                <w:sz w:val="16"/>
              </w:rPr>
              <w:t>P0</w:t>
            </w:r>
          </w:p>
        </w:tc>
      </w:tr>
      <w:tr>
        <w:tc>
          <w:tcPr>
            <w:tcW w:type="dxa" w:w="4844"/>
            <w:vAlign w:val="center"/>
          </w:tcPr>
          <w:p>
            <w:pPr>
              <w:spacing w:after="20"/>
            </w:pPr>
            <w:r>
              <w:rPr>
                <w:sz w:val="16"/>
              </w:rPr>
              <w:t>点击跳转到来源章节/页码</w:t>
            </w:r>
          </w:p>
        </w:tc>
        <w:tc>
          <w:tcPr>
            <w:tcW w:type="dxa" w:w="4844"/>
            <w:vAlign w:val="center"/>
          </w:tcPr>
          <w:p>
            <w:pPr>
              <w:spacing w:after="20"/>
            </w:pPr>
            <w:r>
              <w:rPr>
                <w:sz w:val="16"/>
              </w:rPr>
              <w:t>P0</w:t>
            </w:r>
          </w:p>
        </w:tc>
      </w:tr>
      <w:tr>
        <w:tc>
          <w:tcPr>
            <w:tcW w:type="dxa" w:w="4844"/>
            <w:vAlign w:val="center"/>
          </w:tcPr>
          <w:p>
            <w:pPr>
              <w:spacing w:after="20"/>
            </w:pPr>
            <w:r>
              <w:rPr>
                <w:sz w:val="16"/>
              </w:rPr>
              <w:t>与当前战斗状态关联的规则入口</w:t>
            </w:r>
          </w:p>
        </w:tc>
        <w:tc>
          <w:tcPr>
            <w:tcW w:type="dxa" w:w="4844"/>
            <w:vAlign w:val="center"/>
          </w:tcPr>
          <w:p>
            <w:pPr>
              <w:spacing w:after="20"/>
            </w:pPr>
            <w:r>
              <w:rPr>
                <w:sz w:val="16"/>
              </w:rPr>
              <w:t>P0</w:t>
            </w:r>
          </w:p>
        </w:tc>
      </w:tr>
      <w:tr>
        <w:tc>
          <w:tcPr>
            <w:tcW w:type="dxa" w:w="4844"/>
            <w:vAlign w:val="center"/>
          </w:tcPr>
          <w:p>
            <w:pPr>
              <w:spacing w:after="20"/>
            </w:pPr>
            <w:r>
              <w:rPr>
                <w:sz w:val="16"/>
              </w:rPr>
              <w:t>中英文关键词与别名词典</w:t>
            </w:r>
          </w:p>
        </w:tc>
        <w:tc>
          <w:tcPr>
            <w:tcW w:type="dxa" w:w="4844"/>
            <w:vAlign w:val="center"/>
          </w:tcPr>
          <w:p>
            <w:pPr>
              <w:spacing w:after="20"/>
            </w:pPr>
            <w:r>
              <w:rPr>
                <w:sz w:val="16"/>
              </w:rPr>
              <w:t>P1</w:t>
            </w:r>
          </w:p>
        </w:tc>
      </w:tr>
    </w:tbl>
    <w:p>
      <w:r>
        <w:t>原则：AI 负责理解问题、定位资料、解释规则；规则计算交给确定性引擎。无法从来源中确定的结论必须明确标示为不确定。</w:t>
      </w:r>
    </w:p>
    <w:p>
      <w:pPr>
        <w:pStyle w:val="Heading2"/>
      </w:pPr>
      <w:r>
        <w:t>2.3 C 模块：基础人物创建</w:t>
      </w:r>
    </w:p>
    <w:tbl>
      <w:tblPr>
        <w:tblStyle w:val="LightShading-Accent1"/>
        <w:tblW w:type="auto" w:w="0"/>
        <w:jc w:val="center"/>
        <w:tblLook w:firstColumn="1" w:firstRow="1" w:lastColumn="0" w:lastRow="0" w:noHBand="0" w:noVBand="1" w:val="04A0"/>
      </w:tblPr>
      <w:tblGrid>
        <w:gridCol w:w="4844"/>
        <w:gridCol w:w="4844"/>
      </w:tblGrid>
      <w:tr>
        <w:tc>
          <w:tcPr>
            <w:tcW w:type="dxa" w:w="4844"/>
            <w:vAlign w:val="center"/>
          </w:tcPr>
          <w:p>
            <w:pPr>
              <w:spacing w:after="20"/>
            </w:pPr>
            <w:r>
              <w:rPr>
                <w:sz w:val="16"/>
              </w:rPr>
              <w:t>功能</w:t>
            </w:r>
          </w:p>
        </w:tc>
        <w:tc>
          <w:tcPr>
            <w:tcW w:type="dxa" w:w="4844"/>
            <w:vAlign w:val="center"/>
          </w:tcPr>
          <w:p>
            <w:pPr>
              <w:spacing w:after="20"/>
            </w:pPr>
            <w:r>
              <w:rPr>
                <w:sz w:val="16"/>
              </w:rPr>
              <w:t>优先级</w:t>
            </w:r>
          </w:p>
        </w:tc>
      </w:tr>
      <w:tr>
        <w:tc>
          <w:tcPr>
            <w:tcW w:type="dxa" w:w="4844"/>
            <w:vAlign w:val="center"/>
          </w:tcPr>
          <w:p>
            <w:pPr>
              <w:spacing w:after="20"/>
            </w:pPr>
            <w:r>
              <w:rPr>
                <w:sz w:val="16"/>
              </w:rPr>
              <w:t>六维属性、调整值计算</w:t>
            </w:r>
          </w:p>
        </w:tc>
        <w:tc>
          <w:tcPr>
            <w:tcW w:type="dxa" w:w="4844"/>
            <w:vAlign w:val="center"/>
          </w:tcPr>
          <w:p>
            <w:pPr>
              <w:spacing w:after="20"/>
            </w:pPr>
            <w:r>
              <w:rPr>
                <w:sz w:val="16"/>
              </w:rPr>
              <w:t>P0</w:t>
            </w:r>
          </w:p>
        </w:tc>
      </w:tr>
      <w:tr>
        <w:tc>
          <w:tcPr>
            <w:tcW w:type="dxa" w:w="4844"/>
            <w:vAlign w:val="center"/>
          </w:tcPr>
          <w:p>
            <w:pPr>
              <w:spacing w:after="20"/>
            </w:pPr>
            <w:r>
              <w:rPr>
                <w:sz w:val="16"/>
              </w:rPr>
              <w:t>SRD 种族、职业、背景选择</w:t>
            </w:r>
          </w:p>
        </w:tc>
        <w:tc>
          <w:tcPr>
            <w:tcW w:type="dxa" w:w="4844"/>
            <w:vAlign w:val="center"/>
          </w:tcPr>
          <w:p>
            <w:pPr>
              <w:spacing w:after="20"/>
            </w:pPr>
            <w:r>
              <w:rPr>
                <w:sz w:val="16"/>
              </w:rPr>
              <w:t>P0</w:t>
            </w:r>
          </w:p>
        </w:tc>
      </w:tr>
      <w:tr>
        <w:tc>
          <w:tcPr>
            <w:tcW w:type="dxa" w:w="4844"/>
            <w:vAlign w:val="center"/>
          </w:tcPr>
          <w:p>
            <w:pPr>
              <w:spacing w:after="20"/>
            </w:pPr>
            <w:r>
              <w:rPr>
                <w:sz w:val="16"/>
              </w:rPr>
              <w:t>等级、熟练加值、技能与豁免</w:t>
            </w:r>
          </w:p>
        </w:tc>
        <w:tc>
          <w:tcPr>
            <w:tcW w:type="dxa" w:w="4844"/>
            <w:vAlign w:val="center"/>
          </w:tcPr>
          <w:p>
            <w:pPr>
              <w:spacing w:after="20"/>
            </w:pPr>
            <w:r>
              <w:rPr>
                <w:sz w:val="16"/>
              </w:rPr>
              <w:t>P0</w:t>
            </w:r>
          </w:p>
        </w:tc>
      </w:tr>
      <w:tr>
        <w:tc>
          <w:tcPr>
            <w:tcW w:type="dxa" w:w="4844"/>
            <w:vAlign w:val="center"/>
          </w:tcPr>
          <w:p>
            <w:pPr>
              <w:spacing w:after="20"/>
            </w:pPr>
            <w:r>
              <w:rPr>
                <w:sz w:val="16"/>
              </w:rPr>
              <w:t>HP、AC、速度、攻击数据</w:t>
            </w:r>
          </w:p>
        </w:tc>
        <w:tc>
          <w:tcPr>
            <w:tcW w:type="dxa" w:w="4844"/>
            <w:vAlign w:val="center"/>
          </w:tcPr>
          <w:p>
            <w:pPr>
              <w:spacing w:after="20"/>
            </w:pPr>
            <w:r>
              <w:rPr>
                <w:sz w:val="16"/>
              </w:rPr>
              <w:t>P0</w:t>
            </w:r>
          </w:p>
        </w:tc>
      </w:tr>
      <w:tr>
        <w:tc>
          <w:tcPr>
            <w:tcW w:type="dxa" w:w="4844"/>
            <w:vAlign w:val="center"/>
          </w:tcPr>
          <w:p>
            <w:pPr>
              <w:spacing w:after="20"/>
            </w:pPr>
            <w:r>
              <w:rPr>
                <w:sz w:val="16"/>
              </w:rPr>
              <w:t>武器、护甲和盾牌管理</w:t>
            </w:r>
          </w:p>
        </w:tc>
        <w:tc>
          <w:tcPr>
            <w:tcW w:type="dxa" w:w="4844"/>
            <w:vAlign w:val="center"/>
          </w:tcPr>
          <w:p>
            <w:pPr>
              <w:spacing w:after="20"/>
            </w:pPr>
            <w:r>
              <w:rPr>
                <w:sz w:val="16"/>
              </w:rPr>
              <w:t>P0</w:t>
            </w:r>
          </w:p>
        </w:tc>
      </w:tr>
      <w:tr>
        <w:tc>
          <w:tcPr>
            <w:tcW w:type="dxa" w:w="4844"/>
            <w:vAlign w:val="center"/>
          </w:tcPr>
          <w:p>
            <w:pPr>
              <w:spacing w:after="20"/>
            </w:pPr>
            <w:r>
              <w:rPr>
                <w:sz w:val="16"/>
              </w:rPr>
              <w:t>角色保存、读取、编辑</w:t>
            </w:r>
          </w:p>
        </w:tc>
        <w:tc>
          <w:tcPr>
            <w:tcW w:type="dxa" w:w="4844"/>
            <w:vAlign w:val="center"/>
          </w:tcPr>
          <w:p>
            <w:pPr>
              <w:spacing w:after="20"/>
            </w:pPr>
            <w:r>
              <w:rPr>
                <w:sz w:val="16"/>
              </w:rPr>
              <w:t>P0</w:t>
            </w:r>
          </w:p>
        </w:tc>
      </w:tr>
      <w:tr>
        <w:tc>
          <w:tcPr>
            <w:tcW w:type="dxa" w:w="4844"/>
            <w:vAlign w:val="center"/>
          </w:tcPr>
          <w:p>
            <w:pPr>
              <w:spacing w:after="20"/>
            </w:pPr>
            <w:r>
              <w:rPr>
                <w:sz w:val="16"/>
              </w:rPr>
              <w:t>基础施法数据与法术位</w:t>
            </w:r>
          </w:p>
        </w:tc>
        <w:tc>
          <w:tcPr>
            <w:tcW w:type="dxa" w:w="4844"/>
            <w:vAlign w:val="center"/>
          </w:tcPr>
          <w:p>
            <w:pPr>
              <w:spacing w:after="20"/>
            </w:pPr>
            <w:r>
              <w:rPr>
                <w:sz w:val="16"/>
              </w:rPr>
              <w:t>P1</w:t>
            </w:r>
          </w:p>
        </w:tc>
      </w:tr>
      <w:tr>
        <w:tc>
          <w:tcPr>
            <w:tcW w:type="dxa" w:w="4844"/>
            <w:vAlign w:val="center"/>
          </w:tcPr>
          <w:p>
            <w:pPr>
              <w:spacing w:after="20"/>
            </w:pPr>
            <w:r>
              <w:rPr>
                <w:sz w:val="16"/>
              </w:rPr>
              <w:t>多职业、完整升级流程</w:t>
            </w:r>
          </w:p>
        </w:tc>
        <w:tc>
          <w:tcPr>
            <w:tcW w:type="dxa" w:w="4844"/>
            <w:vAlign w:val="center"/>
          </w:tcPr>
          <w:p>
            <w:pPr>
              <w:spacing w:after="20"/>
            </w:pPr>
            <w:r>
              <w:rPr>
                <w:sz w:val="16"/>
              </w:rPr>
              <w:t>P2</w:t>
            </w:r>
          </w:p>
        </w:tc>
      </w:tr>
    </w:tbl>
    <w:p>
      <w:r>
        <w:t>端到端先保证 1 级战士、游荡者、法师三个模板可用；数据库和 Schema 保持可扩展。</w:t>
      </w:r>
    </w:p>
    <w:p>
      <w:pPr>
        <w:pStyle w:val="Heading2"/>
      </w:pPr>
      <w:r>
        <w:t>2.4 D 模块：完整战斗流程</w:t>
      </w:r>
    </w:p>
    <w:p>
      <w:r/>
      <w:r>
        <w:rPr>
          <w:b/>
        </w:rPr>
        <w:t>工作流：</w:t>
      </w:r>
      <w:r>
        <w:t xml:space="preserve"> 创建遭遇→加入角色与怪物→掷先攻→开始回合→选择行动→合法性检查→计算判定→结算效果→保存日志→下一回合／结束。</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vAlign w:val="center"/>
          </w:tcPr>
          <w:p>
            <w:pPr>
              <w:spacing w:after="20"/>
            </w:pPr>
            <w:r>
              <w:rPr>
                <w:sz w:val="16"/>
              </w:rPr>
              <w:t>机制</w:t>
            </w:r>
          </w:p>
        </w:tc>
        <w:tc>
          <w:tcPr>
            <w:tcW w:type="dxa" w:w="3229"/>
            <w:vAlign w:val="center"/>
          </w:tcPr>
          <w:p>
            <w:pPr>
              <w:spacing w:after="20"/>
            </w:pPr>
            <w:r>
              <w:rPr>
                <w:sz w:val="16"/>
              </w:rPr>
              <w:t>P0 必需能力</w:t>
            </w:r>
          </w:p>
        </w:tc>
        <w:tc>
          <w:tcPr>
            <w:tcW w:type="dxa" w:w="3229"/>
            <w:vAlign w:val="center"/>
          </w:tcPr>
          <w:p>
            <w:pPr>
              <w:spacing w:after="20"/>
            </w:pPr>
            <w:r>
              <w:rPr>
                <w:sz w:val="16"/>
              </w:rPr>
              <w:t>复杂情况方案</w:t>
            </w:r>
          </w:p>
        </w:tc>
      </w:tr>
      <w:tr>
        <w:tc>
          <w:tcPr>
            <w:tcW w:type="dxa" w:w="3229"/>
            <w:vAlign w:val="center"/>
          </w:tcPr>
          <w:p>
            <w:pPr>
              <w:spacing w:after="20"/>
            </w:pPr>
            <w:r>
              <w:rPr>
                <w:sz w:val="16"/>
              </w:rPr>
              <w:t>先攻</w:t>
            </w:r>
          </w:p>
        </w:tc>
        <w:tc>
          <w:tcPr>
            <w:tcW w:type="dxa" w:w="3229"/>
            <w:vAlign w:val="center"/>
          </w:tcPr>
          <w:p>
            <w:pPr>
              <w:spacing w:after="20"/>
            </w:pPr>
            <w:r>
              <w:rPr>
                <w:sz w:val="16"/>
              </w:rPr>
              <w:t>d20 + 敏捷调整值、排序</w:t>
            </w:r>
          </w:p>
        </w:tc>
        <w:tc>
          <w:tcPr>
            <w:tcW w:type="dxa" w:w="3229"/>
            <w:vAlign w:val="center"/>
          </w:tcPr>
          <w:p>
            <w:pPr>
              <w:spacing w:after="20"/>
            </w:pPr>
            <w:r>
              <w:rPr>
                <w:sz w:val="16"/>
              </w:rPr>
              <w:t>同先攻由 DM 选择</w:t>
            </w:r>
          </w:p>
        </w:tc>
      </w:tr>
      <w:tr>
        <w:tc>
          <w:tcPr>
            <w:tcW w:type="dxa" w:w="3229"/>
            <w:vAlign w:val="center"/>
          </w:tcPr>
          <w:p>
            <w:pPr>
              <w:spacing w:after="20"/>
            </w:pPr>
            <w:r>
              <w:rPr>
                <w:sz w:val="16"/>
              </w:rPr>
              <w:t>行动经济</w:t>
            </w:r>
          </w:p>
        </w:tc>
        <w:tc>
          <w:tcPr>
            <w:tcW w:type="dxa" w:w="3229"/>
            <w:vAlign w:val="center"/>
          </w:tcPr>
          <w:p>
            <w:pPr>
              <w:spacing w:after="20"/>
            </w:pPr>
            <w:r>
              <w:rPr>
                <w:sz w:val="16"/>
              </w:rPr>
              <w:t>行动、附赠动作、移动、反应消耗</w:t>
            </w:r>
          </w:p>
        </w:tc>
        <w:tc>
          <w:tcPr>
            <w:tcW w:type="dxa" w:w="3229"/>
            <w:vAlign w:val="center"/>
          </w:tcPr>
          <w:p>
            <w:pPr>
              <w:spacing w:after="20"/>
            </w:pPr>
            <w:r>
              <w:rPr>
                <w:sz w:val="16"/>
              </w:rPr>
              <w:t>特殊动作走扩展或 DM 裁定</w:t>
            </w:r>
          </w:p>
        </w:tc>
      </w:tr>
      <w:tr>
        <w:tc>
          <w:tcPr>
            <w:tcW w:type="dxa" w:w="3229"/>
            <w:vAlign w:val="center"/>
          </w:tcPr>
          <w:p>
            <w:pPr>
              <w:spacing w:after="20"/>
            </w:pPr>
            <w:r>
              <w:rPr>
                <w:sz w:val="16"/>
              </w:rPr>
              <w:t>攻击</w:t>
            </w:r>
          </w:p>
        </w:tc>
        <w:tc>
          <w:tcPr>
            <w:tcW w:type="dxa" w:w="3229"/>
            <w:vAlign w:val="center"/>
          </w:tcPr>
          <w:p>
            <w:pPr>
              <w:spacing w:after="20"/>
            </w:pPr>
            <w:r>
              <w:rPr>
                <w:sz w:val="16"/>
              </w:rPr>
              <w:t>近/远程攻击、熟练值、命中判定</w:t>
            </w:r>
          </w:p>
        </w:tc>
        <w:tc>
          <w:tcPr>
            <w:tcW w:type="dxa" w:w="3229"/>
            <w:vAlign w:val="center"/>
          </w:tcPr>
          <w:p>
            <w:pPr>
              <w:spacing w:after="20"/>
            </w:pPr>
            <w:r>
              <w:rPr>
                <w:sz w:val="16"/>
              </w:rPr>
              <w:t>场景特例手动修正</w:t>
            </w:r>
          </w:p>
        </w:tc>
      </w:tr>
      <w:tr>
        <w:tc>
          <w:tcPr>
            <w:tcW w:type="dxa" w:w="3229"/>
            <w:vAlign w:val="center"/>
          </w:tcPr>
          <w:p>
            <w:pPr>
              <w:spacing w:after="20"/>
            </w:pPr>
            <w:r>
              <w:rPr>
                <w:sz w:val="16"/>
              </w:rPr>
              <w:t>优势/劣势</w:t>
            </w:r>
          </w:p>
        </w:tc>
        <w:tc>
          <w:tcPr>
            <w:tcW w:type="dxa" w:w="3229"/>
            <w:vAlign w:val="center"/>
          </w:tcPr>
          <w:p>
            <w:pPr>
              <w:spacing w:after="20"/>
            </w:pPr>
            <w:r>
              <w:rPr>
                <w:sz w:val="16"/>
              </w:rPr>
              <w:t>两次 d20 取高/低、相互抵消</w:t>
            </w:r>
          </w:p>
        </w:tc>
        <w:tc>
          <w:tcPr>
            <w:tcW w:type="dxa" w:w="3229"/>
            <w:vAlign w:val="center"/>
          </w:tcPr>
          <w:p>
            <w:pPr>
              <w:spacing w:after="20"/>
            </w:pPr>
            <w:r>
              <w:rPr>
                <w:sz w:val="16"/>
              </w:rPr>
              <w:t>记录触发来源</w:t>
            </w:r>
          </w:p>
        </w:tc>
      </w:tr>
      <w:tr>
        <w:tc>
          <w:tcPr>
            <w:tcW w:type="dxa" w:w="3229"/>
            <w:vAlign w:val="center"/>
          </w:tcPr>
          <w:p>
            <w:pPr>
              <w:spacing w:after="20"/>
            </w:pPr>
            <w:r>
              <w:rPr>
                <w:sz w:val="16"/>
              </w:rPr>
              <w:t>AC</w:t>
            </w:r>
          </w:p>
        </w:tc>
        <w:tc>
          <w:tcPr>
            <w:tcW w:type="dxa" w:w="3229"/>
            <w:vAlign w:val="center"/>
          </w:tcPr>
          <w:p>
            <w:pPr>
              <w:spacing w:after="20"/>
            </w:pPr>
            <w:r>
              <w:rPr>
                <w:sz w:val="16"/>
              </w:rPr>
              <w:t>护甲、盾牌、敏捷及明确支持的修正</w:t>
            </w:r>
          </w:p>
        </w:tc>
        <w:tc>
          <w:tcPr>
            <w:tcW w:type="dxa" w:w="3229"/>
            <w:vAlign w:val="center"/>
          </w:tcPr>
          <w:p>
            <w:pPr>
              <w:spacing w:after="20"/>
            </w:pPr>
            <w:r>
              <w:rPr>
                <w:sz w:val="16"/>
              </w:rPr>
              <w:t>额外效果独立生效</w:t>
            </w:r>
          </w:p>
        </w:tc>
      </w:tr>
      <w:tr>
        <w:tc>
          <w:tcPr>
            <w:tcW w:type="dxa" w:w="3229"/>
            <w:vAlign w:val="center"/>
          </w:tcPr>
          <w:p>
            <w:pPr>
              <w:spacing w:after="20"/>
            </w:pPr>
            <w:r>
              <w:rPr>
                <w:sz w:val="16"/>
              </w:rPr>
              <w:t>伤害</w:t>
            </w:r>
          </w:p>
        </w:tc>
        <w:tc>
          <w:tcPr>
            <w:tcW w:type="dxa" w:w="3229"/>
            <w:vAlign w:val="center"/>
          </w:tcPr>
          <w:p>
            <w:pPr>
              <w:spacing w:after="20"/>
            </w:pPr>
            <w:r>
              <w:rPr>
                <w:sz w:val="16"/>
              </w:rPr>
              <w:t>伤害骰、调整值、暴击、伤害类型</w:t>
            </w:r>
          </w:p>
        </w:tc>
        <w:tc>
          <w:tcPr>
            <w:tcW w:type="dxa" w:w="3229"/>
            <w:vAlign w:val="center"/>
          </w:tcPr>
          <w:p>
            <w:pPr>
              <w:spacing w:after="20"/>
            </w:pPr>
            <w:r>
              <w:rPr>
                <w:sz w:val="16"/>
              </w:rPr>
              <w:t>组合伤害分项处理</w:t>
            </w:r>
          </w:p>
        </w:tc>
      </w:tr>
      <w:tr>
        <w:tc>
          <w:tcPr>
            <w:tcW w:type="dxa" w:w="3229"/>
            <w:vAlign w:val="center"/>
          </w:tcPr>
          <w:p>
            <w:pPr>
              <w:spacing w:after="20"/>
            </w:pPr>
            <w:r>
              <w:rPr>
                <w:sz w:val="16"/>
              </w:rPr>
              <w:t>防御</w:t>
            </w:r>
          </w:p>
        </w:tc>
        <w:tc>
          <w:tcPr>
            <w:tcW w:type="dxa" w:w="3229"/>
            <w:vAlign w:val="center"/>
          </w:tcPr>
          <w:p>
            <w:pPr>
              <w:spacing w:after="20"/>
            </w:pPr>
            <w:r>
              <w:rPr>
                <w:sz w:val="16"/>
              </w:rPr>
              <w:t>抗性、易伤、免疫及临时 HP</w:t>
            </w:r>
          </w:p>
        </w:tc>
        <w:tc>
          <w:tcPr>
            <w:tcW w:type="dxa" w:w="3229"/>
            <w:vAlign w:val="center"/>
          </w:tcPr>
          <w:p>
            <w:pPr>
              <w:spacing w:after="20"/>
            </w:pPr>
            <w:r>
              <w:rPr>
                <w:sz w:val="16"/>
              </w:rPr>
              <w:t>明确结算顺序</w:t>
            </w:r>
          </w:p>
        </w:tc>
      </w:tr>
      <w:tr>
        <w:tc>
          <w:tcPr>
            <w:tcW w:type="dxa" w:w="3229"/>
            <w:vAlign w:val="center"/>
          </w:tcPr>
          <w:p>
            <w:pPr>
              <w:spacing w:after="20"/>
            </w:pPr>
            <w:r>
              <w:rPr>
                <w:sz w:val="16"/>
              </w:rPr>
              <w:t>生命状态</w:t>
            </w:r>
          </w:p>
        </w:tc>
        <w:tc>
          <w:tcPr>
            <w:tcW w:type="dxa" w:w="3229"/>
            <w:vAlign w:val="center"/>
          </w:tcPr>
          <w:p>
            <w:pPr>
              <w:spacing w:after="20"/>
            </w:pPr>
            <w:r>
              <w:rPr>
                <w:sz w:val="16"/>
              </w:rPr>
              <w:t>HP、治疗、0 HP、死亡豁免、稳定</w:t>
            </w:r>
          </w:p>
        </w:tc>
        <w:tc>
          <w:tcPr>
            <w:tcW w:type="dxa" w:w="3229"/>
            <w:vAlign w:val="center"/>
          </w:tcPr>
          <w:p>
            <w:pPr>
              <w:spacing w:after="20"/>
            </w:pPr>
            <w:r>
              <w:rPr>
                <w:sz w:val="16"/>
              </w:rPr>
              <w:t>保留人工裁定入口</w:t>
            </w:r>
          </w:p>
        </w:tc>
      </w:tr>
      <w:tr>
        <w:tc>
          <w:tcPr>
            <w:tcW w:type="dxa" w:w="3229"/>
            <w:vAlign w:val="center"/>
          </w:tcPr>
          <w:p>
            <w:pPr>
              <w:spacing w:after="20"/>
            </w:pPr>
            <w:r>
              <w:rPr>
                <w:sz w:val="16"/>
              </w:rPr>
              <w:t>状态</w:t>
            </w:r>
          </w:p>
        </w:tc>
        <w:tc>
          <w:tcPr>
            <w:tcW w:type="dxa" w:w="3229"/>
            <w:vAlign w:val="center"/>
          </w:tcPr>
          <w:p>
            <w:pPr>
              <w:spacing w:after="20"/>
            </w:pPr>
            <w:r>
              <w:rPr>
                <w:sz w:val="16"/>
              </w:rPr>
              <w:t>常见状态及持续时间</w:t>
            </w:r>
          </w:p>
        </w:tc>
        <w:tc>
          <w:tcPr>
            <w:tcW w:type="dxa" w:w="3229"/>
            <w:vAlign w:val="center"/>
          </w:tcPr>
          <w:p>
            <w:pPr>
              <w:spacing w:after="20"/>
            </w:pPr>
            <w:r>
              <w:rPr>
                <w:sz w:val="16"/>
              </w:rPr>
              <w:t>仅自动处理已实现条目</w:t>
            </w:r>
          </w:p>
        </w:tc>
      </w:tr>
      <w:tr>
        <w:tc>
          <w:tcPr>
            <w:tcW w:type="dxa" w:w="3229"/>
            <w:vAlign w:val="center"/>
          </w:tcPr>
          <w:p>
            <w:pPr>
              <w:spacing w:after="20"/>
            </w:pPr>
            <w:r>
              <w:rPr>
                <w:sz w:val="16"/>
              </w:rPr>
              <w:t>法术</w:t>
            </w:r>
          </w:p>
        </w:tc>
        <w:tc>
          <w:tcPr>
            <w:tcW w:type="dxa" w:w="3229"/>
            <w:vAlign w:val="center"/>
          </w:tcPr>
          <w:p>
            <w:pPr>
              <w:spacing w:after="20"/>
            </w:pPr>
            <w:r>
              <w:rPr>
                <w:sz w:val="16"/>
              </w:rPr>
              <w:t>施法命中、豁免、伤害、治疗、资源消耗</w:t>
            </w:r>
          </w:p>
        </w:tc>
        <w:tc>
          <w:tcPr>
            <w:tcW w:type="dxa" w:w="3229"/>
            <w:vAlign w:val="center"/>
          </w:tcPr>
          <w:p>
            <w:pPr>
              <w:spacing w:after="20"/>
            </w:pPr>
            <w:r>
              <w:rPr>
                <w:sz w:val="16"/>
              </w:rPr>
              <w:t>仅对测试集中受支持的法术自动结算</w:t>
            </w:r>
          </w:p>
        </w:tc>
      </w:tr>
      <w:tr>
        <w:tc>
          <w:tcPr>
            <w:tcW w:type="dxa" w:w="3229"/>
            <w:vAlign w:val="center"/>
          </w:tcPr>
          <w:p>
            <w:pPr>
              <w:spacing w:after="20"/>
            </w:pPr>
            <w:r>
              <w:rPr>
                <w:sz w:val="16"/>
              </w:rPr>
              <w:t>日志</w:t>
            </w:r>
          </w:p>
        </w:tc>
        <w:tc>
          <w:tcPr>
            <w:tcW w:type="dxa" w:w="3229"/>
            <w:vAlign w:val="center"/>
          </w:tcPr>
          <w:p>
            <w:pPr>
              <w:spacing w:after="20"/>
            </w:pPr>
            <w:r>
              <w:rPr>
                <w:sz w:val="16"/>
              </w:rPr>
              <w:t>命令、骰值、规则、结果及状态变化</w:t>
            </w:r>
          </w:p>
        </w:tc>
        <w:tc>
          <w:tcPr>
            <w:tcW w:type="dxa" w:w="3229"/>
            <w:vAlign w:val="center"/>
          </w:tcPr>
          <w:p>
            <w:pPr>
              <w:spacing w:after="20"/>
            </w:pPr>
            <w:r>
              <w:rPr>
                <w:sz w:val="16"/>
              </w:rPr>
              <w:t>支持 DM 调整与审计</w:t>
            </w:r>
          </w:p>
        </w:tc>
      </w:tr>
    </w:tbl>
    <w:p>
      <w:r/>
      <w:r>
        <w:rPr>
          <w:b/>
        </w:rPr>
        <w:t>核心限定：</w:t>
      </w:r>
      <w:r>
        <w:t xml:space="preserve"> V1.0 战斗流程完整，但法术与特殊能力覆盖采用明确的“已支持清单”；反应插入与持续效果时机应纳入状态机设计，暂时无法自动化的效果交给 DM 决策。</w:t>
      </w:r>
    </w:p>
    <w:p>
      <w:pPr>
        <w:pStyle w:val="Heading2"/>
      </w:pPr>
      <w:r>
        <w:t>2.5 E 模块：Homebrew 自定义规则导入</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vAlign w:val="center"/>
          </w:tcPr>
          <w:p>
            <w:pPr>
              <w:spacing w:after="20"/>
            </w:pPr>
            <w:r>
              <w:rPr>
                <w:sz w:val="16"/>
              </w:rPr>
              <w:t>导入等级</w:t>
            </w:r>
          </w:p>
        </w:tc>
        <w:tc>
          <w:tcPr>
            <w:tcW w:type="dxa" w:w="3229"/>
            <w:vAlign w:val="center"/>
          </w:tcPr>
          <w:p>
            <w:pPr>
              <w:spacing w:after="20"/>
            </w:pPr>
            <w:r>
              <w:rPr>
                <w:sz w:val="16"/>
              </w:rPr>
              <w:t>能力与范围</w:t>
            </w:r>
          </w:p>
        </w:tc>
        <w:tc>
          <w:tcPr>
            <w:tcW w:type="dxa" w:w="3229"/>
            <w:vAlign w:val="center"/>
          </w:tcPr>
          <w:p>
            <w:pPr>
              <w:spacing w:after="20"/>
            </w:pPr>
            <w:r>
              <w:rPr>
                <w:sz w:val="16"/>
              </w:rPr>
              <w:t>优先级</w:t>
            </w:r>
          </w:p>
        </w:tc>
      </w:tr>
      <w:tr>
        <w:tc>
          <w:tcPr>
            <w:tcW w:type="dxa" w:w="3229"/>
            <w:vAlign w:val="center"/>
          </w:tcPr>
          <w:p>
            <w:pPr>
              <w:spacing w:after="20"/>
            </w:pPr>
            <w:r>
              <w:rPr>
                <w:sz w:val="16"/>
              </w:rPr>
              <w:t>知识型</w:t>
            </w:r>
          </w:p>
        </w:tc>
        <w:tc>
          <w:tcPr>
            <w:tcW w:type="dxa" w:w="3229"/>
            <w:vAlign w:val="center"/>
          </w:tcPr>
          <w:p>
            <w:pPr>
              <w:spacing w:after="20"/>
            </w:pPr>
            <w:r>
              <w:rPr>
                <w:sz w:val="16"/>
              </w:rPr>
              <w:t>导入文档为检索条目</w:t>
            </w:r>
          </w:p>
        </w:tc>
        <w:tc>
          <w:tcPr>
            <w:tcW w:type="dxa" w:w="3229"/>
            <w:vAlign w:val="center"/>
          </w:tcPr>
          <w:p>
            <w:pPr>
              <w:spacing w:after="20"/>
            </w:pPr>
            <w:r>
              <w:rPr>
                <w:sz w:val="16"/>
              </w:rPr>
              <w:t>P0</w:t>
            </w:r>
          </w:p>
        </w:tc>
      </w:tr>
      <w:tr>
        <w:tc>
          <w:tcPr>
            <w:tcW w:type="dxa" w:w="3229"/>
            <w:vAlign w:val="center"/>
          </w:tcPr>
          <w:p>
            <w:pPr>
              <w:spacing w:after="20"/>
            </w:pPr>
            <w:r>
              <w:rPr>
                <w:sz w:val="16"/>
              </w:rPr>
              <w:t>数据型</w:t>
            </w:r>
          </w:p>
        </w:tc>
        <w:tc>
          <w:tcPr>
            <w:tcW w:type="dxa" w:w="3229"/>
            <w:vAlign w:val="center"/>
          </w:tcPr>
          <w:p>
            <w:pPr>
              <w:spacing w:after="20"/>
            </w:pPr>
            <w:r>
              <w:rPr>
                <w:sz w:val="16"/>
              </w:rPr>
              <w:t>通过 Schema 的装备、怪物及简单状态</w:t>
            </w:r>
          </w:p>
        </w:tc>
        <w:tc>
          <w:tcPr>
            <w:tcW w:type="dxa" w:w="3229"/>
            <w:vAlign w:val="center"/>
          </w:tcPr>
          <w:p>
            <w:pPr>
              <w:spacing w:after="20"/>
            </w:pPr>
            <w:r>
              <w:rPr>
                <w:sz w:val="16"/>
              </w:rPr>
              <w:t>P0</w:t>
            </w:r>
          </w:p>
        </w:tc>
      </w:tr>
      <w:tr>
        <w:tc>
          <w:tcPr>
            <w:tcW w:type="dxa" w:w="3229"/>
            <w:vAlign w:val="center"/>
          </w:tcPr>
          <w:p>
            <w:pPr>
              <w:spacing w:after="20"/>
            </w:pPr>
            <w:r>
              <w:rPr>
                <w:sz w:val="16"/>
              </w:rPr>
              <w:t>执行型</w:t>
            </w:r>
          </w:p>
        </w:tc>
        <w:tc>
          <w:tcPr>
            <w:tcW w:type="dxa" w:w="3229"/>
            <w:vAlign w:val="center"/>
          </w:tcPr>
          <w:p>
            <w:pPr>
              <w:spacing w:after="20"/>
            </w:pPr>
            <w:r>
              <w:rPr>
                <w:sz w:val="16"/>
              </w:rPr>
              <w:t>受限的固定加值、伤害骰替换、附加伤害模板</w:t>
            </w:r>
          </w:p>
        </w:tc>
        <w:tc>
          <w:tcPr>
            <w:tcW w:type="dxa" w:w="3229"/>
            <w:vAlign w:val="center"/>
          </w:tcPr>
          <w:p>
            <w:pPr>
              <w:spacing w:after="20"/>
            </w:pPr>
            <w:r>
              <w:rPr>
                <w:sz w:val="16"/>
              </w:rPr>
              <w:t>P0（受限）</w:t>
            </w:r>
          </w:p>
        </w:tc>
      </w:tr>
      <w:tr>
        <w:tc>
          <w:tcPr>
            <w:tcW w:type="dxa" w:w="3229"/>
            <w:vAlign w:val="center"/>
          </w:tcPr>
          <w:p>
            <w:pPr>
              <w:spacing w:after="20"/>
            </w:pPr>
            <w:r>
              <w:rPr>
                <w:sz w:val="16"/>
              </w:rPr>
              <w:t>任意规则自动执行</w:t>
            </w:r>
          </w:p>
        </w:tc>
        <w:tc>
          <w:tcPr>
            <w:tcW w:type="dxa" w:w="3229"/>
            <w:vAlign w:val="center"/>
          </w:tcPr>
          <w:p>
            <w:pPr>
              <w:spacing w:after="20"/>
            </w:pPr>
            <w:r>
              <w:rPr>
                <w:sz w:val="16"/>
              </w:rPr>
              <w:t>从任意自然语言生成通用可执行逻辑</w:t>
            </w:r>
          </w:p>
        </w:tc>
        <w:tc>
          <w:tcPr>
            <w:tcW w:type="dxa" w:w="3229"/>
            <w:vAlign w:val="center"/>
          </w:tcPr>
          <w:p>
            <w:pPr>
              <w:spacing w:after="20"/>
            </w:pPr>
            <w:r>
              <w:rPr>
                <w:sz w:val="16"/>
              </w:rPr>
              <w:t>P2</w:t>
            </w:r>
          </w:p>
        </w:tc>
      </w:tr>
    </w:tbl>
    <w:p>
      <w:r>
        <w:t>输入→xParse→规则草案→字段检查→DM 审核→发布→在角色/战斗中使用。禁止直接执行 AI 生成的 Python/JavaScript；使用白名单指令与受限规则 DSL。</w:t>
      </w:r>
    </w:p>
    <w:p>
      <w:pPr>
        <w:pStyle w:val="Heading1"/>
      </w:pPr>
      <w:r>
        <w:t>3. 技术架构</w:t>
      </w:r>
    </w:p>
    <w:p>
      <w:pPr>
        <w:pStyle w:val="Heading2"/>
      </w:pPr>
      <w:r>
        <w:t>3.1 技术选型</w:t>
      </w:r>
    </w:p>
    <w:tbl>
      <w:tblPr>
        <w:tblStyle w:val="LightShading-Accent1"/>
        <w:tblW w:type="auto" w:w="0"/>
        <w:jc w:val="center"/>
        <w:tblLook w:firstColumn="1" w:firstRow="1" w:lastColumn="0" w:lastRow="0" w:noHBand="0" w:noVBand="1" w:val="04A0"/>
      </w:tblPr>
      <w:tblGrid>
        <w:gridCol w:w="3229"/>
        <w:gridCol w:w="3229"/>
        <w:gridCol w:w="3229"/>
      </w:tblGrid>
      <w:tr>
        <w:tc>
          <w:tcPr>
            <w:tcW w:type="dxa" w:w="3229"/>
            <w:vAlign w:val="center"/>
          </w:tcPr>
          <w:p>
            <w:pPr>
              <w:spacing w:after="20"/>
            </w:pPr>
            <w:r>
              <w:rPr>
                <w:sz w:val="16"/>
              </w:rPr>
              <w:t>层次</w:t>
            </w:r>
          </w:p>
        </w:tc>
        <w:tc>
          <w:tcPr>
            <w:tcW w:type="dxa" w:w="3229"/>
            <w:vAlign w:val="center"/>
          </w:tcPr>
          <w:p>
            <w:pPr>
              <w:spacing w:after="20"/>
            </w:pPr>
            <w:r>
              <w:rPr>
                <w:sz w:val="16"/>
              </w:rPr>
              <w:t>选型</w:t>
            </w:r>
          </w:p>
        </w:tc>
        <w:tc>
          <w:tcPr>
            <w:tcW w:type="dxa" w:w="3229"/>
            <w:vAlign w:val="center"/>
          </w:tcPr>
          <w:p>
            <w:pPr>
              <w:spacing w:after="20"/>
            </w:pPr>
            <w:r>
              <w:rPr>
                <w:sz w:val="16"/>
              </w:rPr>
              <w:t>职责</w:t>
            </w:r>
          </w:p>
        </w:tc>
      </w:tr>
      <w:tr>
        <w:tc>
          <w:tcPr>
            <w:tcW w:type="dxa" w:w="3229"/>
            <w:vAlign w:val="center"/>
          </w:tcPr>
          <w:p>
            <w:pPr>
              <w:spacing w:after="20"/>
            </w:pPr>
            <w:r>
              <w:rPr>
                <w:sz w:val="16"/>
              </w:rPr>
              <w:t>开发 Agent</w:t>
            </w:r>
          </w:p>
        </w:tc>
        <w:tc>
          <w:tcPr>
            <w:tcW w:type="dxa" w:w="3229"/>
            <w:vAlign w:val="center"/>
          </w:tcPr>
          <w:p>
            <w:pPr>
              <w:spacing w:after="20"/>
            </w:pPr>
            <w:r>
              <w:rPr>
                <w:sz w:val="16"/>
              </w:rPr>
              <w:t>Codex</w:t>
            </w:r>
          </w:p>
        </w:tc>
        <w:tc>
          <w:tcPr>
            <w:tcW w:type="dxa" w:w="3229"/>
            <w:vAlign w:val="center"/>
          </w:tcPr>
          <w:p>
            <w:pPr>
              <w:spacing w:after="20"/>
            </w:pPr>
            <w:r>
              <w:rPr>
                <w:sz w:val="16"/>
              </w:rPr>
              <w:t>工程设计、编码、测试、调试</w:t>
            </w:r>
          </w:p>
        </w:tc>
      </w:tr>
      <w:tr>
        <w:tc>
          <w:tcPr>
            <w:tcW w:type="dxa" w:w="3229"/>
            <w:vAlign w:val="center"/>
          </w:tcPr>
          <w:p>
            <w:pPr>
              <w:spacing w:after="20"/>
            </w:pPr>
            <w:r>
              <w:rPr>
                <w:sz w:val="16"/>
              </w:rPr>
              <w:t>文档解析</w:t>
            </w:r>
          </w:p>
        </w:tc>
        <w:tc>
          <w:tcPr>
            <w:tcW w:type="dxa" w:w="3229"/>
            <w:vAlign w:val="center"/>
          </w:tcPr>
          <w:p>
            <w:pPr>
              <w:spacing w:after="20"/>
            </w:pPr>
            <w:r>
              <w:rPr>
                <w:sz w:val="16"/>
              </w:rPr>
              <w:t>TextIn xParse Skills/CLI/API</w:t>
            </w:r>
          </w:p>
        </w:tc>
        <w:tc>
          <w:tcPr>
            <w:tcW w:type="dxa" w:w="3229"/>
            <w:vAlign w:val="center"/>
          </w:tcPr>
          <w:p>
            <w:pPr>
              <w:spacing w:after="20"/>
            </w:pPr>
            <w:r>
              <w:rPr>
                <w:sz w:val="16"/>
              </w:rPr>
              <w:t>结构化提取，保留真实解析证据</w:t>
            </w:r>
          </w:p>
        </w:tc>
      </w:tr>
      <w:tr>
        <w:tc>
          <w:tcPr>
            <w:tcW w:type="dxa" w:w="3229"/>
            <w:vAlign w:val="center"/>
          </w:tcPr>
          <w:p>
            <w:pPr>
              <w:spacing w:after="20"/>
            </w:pPr>
            <w:r>
              <w:rPr>
                <w:sz w:val="16"/>
              </w:rPr>
              <w:t>前端</w:t>
            </w:r>
          </w:p>
        </w:tc>
        <w:tc>
          <w:tcPr>
            <w:tcW w:type="dxa" w:w="3229"/>
            <w:vAlign w:val="center"/>
          </w:tcPr>
          <w:p>
            <w:pPr>
              <w:spacing w:after="20"/>
            </w:pPr>
            <w:r>
              <w:rPr>
                <w:sz w:val="16"/>
              </w:rPr>
              <w:t>React + TypeScript</w:t>
            </w:r>
          </w:p>
        </w:tc>
        <w:tc>
          <w:tcPr>
            <w:tcW w:type="dxa" w:w="3229"/>
            <w:vAlign w:val="center"/>
          </w:tcPr>
          <w:p>
            <w:pPr>
              <w:spacing w:after="20"/>
            </w:pPr>
            <w:r>
              <w:rPr>
                <w:sz w:val="16"/>
              </w:rPr>
              <w:t>规则、角色、战斗和导入界面</w:t>
            </w:r>
          </w:p>
        </w:tc>
      </w:tr>
      <w:tr>
        <w:tc>
          <w:tcPr>
            <w:tcW w:type="dxa" w:w="3229"/>
            <w:vAlign w:val="center"/>
          </w:tcPr>
          <w:p>
            <w:pPr>
              <w:spacing w:after="20"/>
            </w:pPr>
            <w:r>
              <w:rPr>
                <w:sz w:val="16"/>
              </w:rPr>
              <w:t>后端</w:t>
            </w:r>
          </w:p>
        </w:tc>
        <w:tc>
          <w:tcPr>
            <w:tcW w:type="dxa" w:w="3229"/>
            <w:vAlign w:val="center"/>
          </w:tcPr>
          <w:p>
            <w:pPr>
              <w:spacing w:after="20"/>
            </w:pPr>
            <w:r>
              <w:rPr>
                <w:sz w:val="16"/>
              </w:rPr>
              <w:t>Python + FastAPI</w:t>
            </w:r>
          </w:p>
        </w:tc>
        <w:tc>
          <w:tcPr>
            <w:tcW w:type="dxa" w:w="3229"/>
            <w:vAlign w:val="center"/>
          </w:tcPr>
          <w:p>
            <w:pPr>
              <w:spacing w:after="20"/>
            </w:pPr>
            <w:r>
              <w:rPr>
                <w:sz w:val="16"/>
              </w:rPr>
              <w:t>API、权限、任务编排、服务逻辑</w:t>
            </w:r>
          </w:p>
        </w:tc>
      </w:tr>
      <w:tr>
        <w:tc>
          <w:tcPr>
            <w:tcW w:type="dxa" w:w="3229"/>
            <w:vAlign w:val="center"/>
          </w:tcPr>
          <w:p>
            <w:pPr>
              <w:spacing w:after="20"/>
            </w:pPr>
            <w:r>
              <w:rPr>
                <w:sz w:val="16"/>
              </w:rPr>
              <w:t>数据验证</w:t>
            </w:r>
          </w:p>
        </w:tc>
        <w:tc>
          <w:tcPr>
            <w:tcW w:type="dxa" w:w="3229"/>
            <w:vAlign w:val="center"/>
          </w:tcPr>
          <w:p>
            <w:pPr>
              <w:spacing w:after="20"/>
            </w:pPr>
            <w:r>
              <w:rPr>
                <w:sz w:val="16"/>
              </w:rPr>
              <w:t>Pydantic</w:t>
            </w:r>
          </w:p>
        </w:tc>
        <w:tc>
          <w:tcPr>
            <w:tcW w:type="dxa" w:w="3229"/>
            <w:vAlign w:val="center"/>
          </w:tcPr>
          <w:p>
            <w:pPr>
              <w:spacing w:after="20"/>
            </w:pPr>
            <w:r>
              <w:rPr>
                <w:sz w:val="16"/>
              </w:rPr>
              <w:t>输入及规则结构约束</w:t>
            </w:r>
          </w:p>
        </w:tc>
      </w:tr>
      <w:tr>
        <w:tc>
          <w:tcPr>
            <w:tcW w:type="dxa" w:w="3229"/>
            <w:vAlign w:val="center"/>
          </w:tcPr>
          <w:p>
            <w:pPr>
              <w:spacing w:after="20"/>
            </w:pPr>
            <w:r>
              <w:rPr>
                <w:sz w:val="16"/>
              </w:rPr>
              <w:t>规则引擎</w:t>
            </w:r>
          </w:p>
        </w:tc>
        <w:tc>
          <w:tcPr>
            <w:tcW w:type="dxa" w:w="3229"/>
            <w:vAlign w:val="center"/>
          </w:tcPr>
          <w:p>
            <w:pPr>
              <w:spacing w:after="20"/>
            </w:pPr>
            <w:r>
              <w:rPr>
                <w:sz w:val="16"/>
              </w:rPr>
              <w:t>Python 纯函数 + 状态机</w:t>
            </w:r>
          </w:p>
        </w:tc>
        <w:tc>
          <w:tcPr>
            <w:tcW w:type="dxa" w:w="3229"/>
            <w:vAlign w:val="center"/>
          </w:tcPr>
          <w:p>
            <w:pPr>
              <w:spacing w:after="20"/>
            </w:pPr>
            <w:r>
              <w:rPr>
                <w:sz w:val="16"/>
              </w:rPr>
              <w:t>确定性判定、状态转换</w:t>
            </w:r>
          </w:p>
        </w:tc>
      </w:tr>
      <w:tr>
        <w:tc>
          <w:tcPr>
            <w:tcW w:type="dxa" w:w="3229"/>
            <w:vAlign w:val="center"/>
          </w:tcPr>
          <w:p>
            <w:pPr>
              <w:spacing w:after="20"/>
            </w:pPr>
            <w:r>
              <w:rPr>
                <w:sz w:val="16"/>
              </w:rPr>
              <w:t>存储</w:t>
            </w:r>
          </w:p>
        </w:tc>
        <w:tc>
          <w:tcPr>
            <w:tcW w:type="dxa" w:w="3229"/>
            <w:vAlign w:val="center"/>
          </w:tcPr>
          <w:p>
            <w:pPr>
              <w:spacing w:after="20"/>
            </w:pPr>
            <w:r>
              <w:rPr>
                <w:sz w:val="16"/>
              </w:rPr>
              <w:t>SQLite + 文件存储</w:t>
            </w:r>
          </w:p>
        </w:tc>
        <w:tc>
          <w:tcPr>
            <w:tcW w:type="dxa" w:w="3229"/>
            <w:vAlign w:val="center"/>
          </w:tcPr>
          <w:p>
            <w:pPr>
              <w:spacing w:after="20"/>
            </w:pPr>
            <w:r>
              <w:rPr>
                <w:sz w:val="16"/>
              </w:rPr>
              <w:t>角色、规则、遭遇、事件与文档</w:t>
            </w:r>
          </w:p>
        </w:tc>
      </w:tr>
      <w:tr>
        <w:tc>
          <w:tcPr>
            <w:tcW w:type="dxa" w:w="3229"/>
            <w:vAlign w:val="center"/>
          </w:tcPr>
          <w:p>
            <w:pPr>
              <w:spacing w:after="20"/>
            </w:pPr>
            <w:r>
              <w:rPr>
                <w:sz w:val="16"/>
              </w:rPr>
              <w:t>搜索</w:t>
            </w:r>
          </w:p>
        </w:tc>
        <w:tc>
          <w:tcPr>
            <w:tcW w:type="dxa" w:w="3229"/>
            <w:vAlign w:val="center"/>
          </w:tcPr>
          <w:p>
            <w:pPr>
              <w:spacing w:after="20"/>
            </w:pPr>
            <w:r>
              <w:rPr>
                <w:sz w:val="16"/>
              </w:rPr>
              <w:t>SQLite FTS5</w:t>
            </w:r>
          </w:p>
        </w:tc>
        <w:tc>
          <w:tcPr>
            <w:tcW w:type="dxa" w:w="3229"/>
            <w:vAlign w:val="center"/>
          </w:tcPr>
          <w:p>
            <w:pPr>
              <w:spacing w:after="20"/>
            </w:pPr>
            <w:r>
              <w:rPr>
                <w:sz w:val="16"/>
              </w:rPr>
              <w:t>全文检索；后续按需引入语义索引</w:t>
            </w:r>
          </w:p>
        </w:tc>
      </w:tr>
      <w:tr>
        <w:tc>
          <w:tcPr>
            <w:tcW w:type="dxa" w:w="3229"/>
            <w:vAlign w:val="center"/>
          </w:tcPr>
          <w:p>
            <w:pPr>
              <w:spacing w:after="20"/>
            </w:pPr>
            <w:r>
              <w:rPr>
                <w:sz w:val="16"/>
              </w:rPr>
              <w:t>AI</w:t>
            </w:r>
          </w:p>
        </w:tc>
        <w:tc>
          <w:tcPr>
            <w:tcW w:type="dxa" w:w="3229"/>
            <w:vAlign w:val="center"/>
          </w:tcPr>
          <w:p>
            <w:pPr>
              <w:spacing w:after="20"/>
            </w:pPr>
            <w:r>
              <w:rPr>
                <w:sz w:val="16"/>
              </w:rPr>
              <w:t>可配置大模型 API</w:t>
            </w:r>
          </w:p>
        </w:tc>
        <w:tc>
          <w:tcPr>
            <w:tcW w:type="dxa" w:w="3229"/>
            <w:vAlign w:val="center"/>
          </w:tcPr>
          <w:p>
            <w:pPr>
              <w:spacing w:after="20"/>
            </w:pPr>
            <w:r>
              <w:rPr>
                <w:sz w:val="16"/>
              </w:rPr>
              <w:t>问句解析、候选抽取、自然语言解释</w:t>
            </w:r>
          </w:p>
        </w:tc>
      </w:tr>
      <w:tr>
        <w:tc>
          <w:tcPr>
            <w:tcW w:type="dxa" w:w="3229"/>
            <w:vAlign w:val="center"/>
          </w:tcPr>
          <w:p>
            <w:pPr>
              <w:spacing w:after="20"/>
            </w:pPr>
            <w:r>
              <w:rPr>
                <w:sz w:val="16"/>
              </w:rPr>
              <w:t>测试</w:t>
            </w:r>
          </w:p>
        </w:tc>
        <w:tc>
          <w:tcPr>
            <w:tcW w:type="dxa" w:w="3229"/>
            <w:vAlign w:val="center"/>
          </w:tcPr>
          <w:p>
            <w:pPr>
              <w:spacing w:after="20"/>
            </w:pPr>
            <w:r>
              <w:rPr>
                <w:sz w:val="16"/>
              </w:rPr>
              <w:t>pytest</w:t>
            </w:r>
          </w:p>
        </w:tc>
        <w:tc>
          <w:tcPr>
            <w:tcW w:type="dxa" w:w="3229"/>
            <w:vAlign w:val="center"/>
          </w:tcPr>
          <w:p>
            <w:pPr>
              <w:spacing w:after="20"/>
            </w:pPr>
            <w:r>
              <w:rPr>
                <w:sz w:val="16"/>
              </w:rPr>
              <w:t>规则单测、集成测试、回归测试</w:t>
            </w:r>
          </w:p>
        </w:tc>
      </w:tr>
    </w:tbl>
    <w:p>
      <w:r>
        <w:t>架构形式：模块化单体。优先完成可信规则引擎，不引入微服务、Kubernetes 或重型向量数据库。</w:t>
      </w:r>
    </w:p>
    <w:p>
      <w:pPr>
        <w:pStyle w:val="Heading2"/>
      </w:pPr>
      <w:r>
        <w:t>3.2 分层和数据流</w:t>
      </w:r>
    </w:p>
    <w:p>
      <w:pPr>
        <w:spacing w:after="0"/>
      </w:pPr>
      <w:r>
        <w:rPr>
          <w:rFonts w:ascii="DejaVu Sans Mono" w:hAnsi="DejaVu Sans Mono"/>
          <w:sz w:val="14"/>
        </w:rPr>
        <w:t>SRD 5.1 PDF / 授权的 Homebrew PDF</w:t>
      </w:r>
    </w:p>
    <w:p>
      <w:pPr>
        <w:spacing w:after="0"/>
      </w:pPr>
      <w:r>
        <w:rPr>
          <w:rFonts w:ascii="DejaVu Sans Mono" w:hAnsi="DejaVu Sans Mono"/>
          <w:sz w:val="14"/>
        </w:rPr>
        <w:t xml:space="preserve">        ↓</w:t>
      </w:r>
    </w:p>
    <w:p>
      <w:pPr>
        <w:spacing w:after="0"/>
      </w:pPr>
      <w:r>
        <w:rPr>
          <w:rFonts w:ascii="DejaVu Sans Mono" w:hAnsi="DejaVu Sans Mono"/>
          <w:sz w:val="14"/>
        </w:rPr>
        <w:t>TextIn xParse（官方技能、CLI 或 API）</w:t>
      </w:r>
    </w:p>
    <w:p>
      <w:pPr>
        <w:spacing w:after="0"/>
      </w:pPr>
      <w:r>
        <w:rPr>
          <w:rFonts w:ascii="DejaVu Sans Mono" w:hAnsi="DejaVu Sans Mono"/>
          <w:sz w:val="14"/>
        </w:rPr>
        <w:t xml:space="preserve">        ↓</w:t>
      </w:r>
    </w:p>
    <w:p>
      <w:pPr>
        <w:spacing w:after="0"/>
      </w:pPr>
      <w:r>
        <w:rPr>
          <w:rFonts w:ascii="DejaVu Sans Mono" w:hAnsi="DejaVu Sans Mono"/>
          <w:sz w:val="14"/>
        </w:rPr>
        <w:t>原始 Markdown / JSON + 日志 + 来源信息</w:t>
      </w:r>
    </w:p>
    <w:p>
      <w:pPr>
        <w:spacing w:after="0"/>
      </w:pPr>
      <w:r>
        <w:rPr>
          <w:rFonts w:ascii="DejaVu Sans Mono" w:hAnsi="DejaVu Sans Mono"/>
          <w:sz w:val="14"/>
        </w:rPr>
        <w:t xml:space="preserve">        ↓</w:t>
      </w:r>
    </w:p>
    <w:p>
      <w:pPr>
        <w:spacing w:after="0"/>
      </w:pPr>
      <w:r>
        <w:rPr>
          <w:rFonts w:ascii="DejaVu Sans Mono" w:hAnsi="DejaVu Sans Mono"/>
          <w:sz w:val="14"/>
        </w:rPr>
        <w:t>标准化抽取 → Pydantic 验证 → 审核与版本发布</w:t>
      </w:r>
    </w:p>
    <w:p>
      <w:pPr>
        <w:spacing w:after="0"/>
      </w:pPr>
      <w:r>
        <w:rPr>
          <w:rFonts w:ascii="DejaVu Sans Mono" w:hAnsi="DejaVu Sans Mono"/>
          <w:sz w:val="14"/>
        </w:rPr>
        <w:t xml:space="preserve">        ├──────────────→ 规则知识库 → 搜索 / 有依据的问答</w:t>
      </w:r>
    </w:p>
    <w:p>
      <w:pPr>
        <w:spacing w:after="0"/>
      </w:pPr>
      <w:r>
        <w:rPr>
          <w:rFonts w:ascii="DejaVu Sans Mono" w:hAnsi="DejaVu Sans Mono"/>
          <w:sz w:val="14"/>
        </w:rPr>
        <w:t xml:space="preserve">        └──────────────→ 受限规则 DSL → 确定性规则引擎</w:t>
      </w:r>
    </w:p>
    <w:p>
      <w:pPr>
        <w:spacing w:after="0"/>
      </w:pPr>
      <w:r>
        <w:rPr>
          <w:rFonts w:ascii="DejaVu Sans Mono" w:hAnsi="DejaVu Sans Mono"/>
          <w:sz w:val="14"/>
        </w:rPr>
        <w:t xml:space="preserve">                                          ↓</w:t>
      </w:r>
    </w:p>
    <w:p>
      <w:pPr>
        <w:spacing w:after="0"/>
      </w:pPr>
      <w:r>
        <w:rPr>
          <w:rFonts w:ascii="DejaVu Sans Mono" w:hAnsi="DejaVu Sans Mono"/>
          <w:sz w:val="14"/>
        </w:rPr>
        <w:t xml:space="preserve">                             战斗状态机 + 命令/事件日志</w:t>
      </w:r>
    </w:p>
    <w:p>
      <w:pPr>
        <w:spacing w:after="0"/>
      </w:pPr>
      <w:r>
        <w:rPr>
          <w:rFonts w:ascii="DejaVu Sans Mono" w:hAnsi="DejaVu Sans Mono"/>
          <w:sz w:val="14"/>
        </w:rPr>
        <w:t xml:space="preserve">                                          ↓</w:t>
      </w:r>
    </w:p>
    <w:p>
      <w:pPr>
        <w:spacing w:after="0"/>
      </w:pPr>
      <w:r>
        <w:rPr>
          <w:rFonts w:ascii="DejaVu Sans Mono" w:hAnsi="DejaVu Sans Mono"/>
          <w:sz w:val="14"/>
        </w:rPr>
        <w:t xml:space="preserve">                               React Web 跑团控制台</w:t>
      </w:r>
    </w:p>
    <w:p>
      <w:pPr>
        <w:pStyle w:val="Heading2"/>
      </w:pPr>
      <w:r>
        <w:t>3.3 五步规则管线</w:t>
      </w:r>
    </w:p>
    <w:p>
      <w:pPr>
        <w:pStyle w:val="ListNumber"/>
      </w:pPr>
      <w:r/>
      <w:r>
        <w:rPr>
          <w:b/>
        </w:rPr>
        <w:t>Parse（解析）</w:t>
      </w:r>
      <w:r>
        <w:t>：由 xParse 生成文档内容、表格和章节信息；留存原始产物。</w:t>
      </w:r>
    </w:p>
    <w:p>
      <w:pPr>
        <w:pStyle w:val="ListNumber"/>
      </w:pPr>
      <w:r/>
      <w:r>
        <w:rPr>
          <w:b/>
        </w:rPr>
        <w:t>Normalize（标准化）</w:t>
      </w:r>
      <w:r>
        <w:t>：归一为装备、职业、法术、状态、规则引用等领域数据。</w:t>
      </w:r>
    </w:p>
    <w:p>
      <w:pPr>
        <w:pStyle w:val="ListNumber"/>
      </w:pPr>
      <w:r/>
      <w:r>
        <w:rPr>
          <w:b/>
        </w:rPr>
        <w:t>Compile（编译）</w:t>
      </w:r>
      <w:r>
        <w:t>：转换为受限操作、条件和效果配置，不生成任意可执行程序。</w:t>
      </w:r>
    </w:p>
    <w:p>
      <w:pPr>
        <w:pStyle w:val="ListNumber"/>
      </w:pPr>
      <w:r/>
      <w:r>
        <w:rPr>
          <w:b/>
        </w:rPr>
        <w:t>Validate（校验）</w:t>
      </w:r>
      <w:r>
        <w:t>：Schema 校验、来源复核、规则单测、DM 审核。</w:t>
      </w:r>
    </w:p>
    <w:p>
      <w:pPr>
        <w:pStyle w:val="ListNumber"/>
      </w:pPr>
      <w:r/>
      <w:r>
        <w:rPr>
          <w:b/>
        </w:rPr>
        <w:t>Execute（执行）</w:t>
      </w:r>
      <w:r>
        <w:t>：根据当前状态、用户命令、骰值和已发布规则确定结算结果。</w:t>
      </w:r>
    </w:p>
    <w:p>
      <w:pPr>
        <w:pStyle w:val="Heading2"/>
      </w:pPr>
      <w:r>
        <w:t>3.4 规则 DSL 示例（项目内部格式，不是 xParse 输出）</w:t>
      </w:r>
    </w:p>
    <w:p>
      <w:pPr>
        <w:spacing w:after="0"/>
      </w:pPr>
      <w:r>
        <w:rPr>
          <w:rFonts w:ascii="DejaVu Sans Mono" w:hAnsi="DejaVu Sans Mono"/>
          <w:sz w:val="14"/>
        </w:rPr>
        <w:t>{</w:t>
      </w:r>
    </w:p>
    <w:p>
      <w:pPr>
        <w:spacing w:after="0"/>
      </w:pPr>
      <w:r>
        <w:rPr>
          <w:rFonts w:ascii="DejaVu Sans Mono" w:hAnsi="DejaVu Sans Mono"/>
          <w:sz w:val="14"/>
        </w:rPr>
        <w:t xml:space="preserve">  "id": "srd51.condition.prone.melee",</w:t>
      </w:r>
    </w:p>
    <w:p>
      <w:pPr>
        <w:spacing w:after="0"/>
      </w:pPr>
      <w:r>
        <w:rPr>
          <w:rFonts w:ascii="DejaVu Sans Mono" w:hAnsi="DejaVu Sans Mono"/>
          <w:sz w:val="14"/>
        </w:rPr>
        <w:t xml:space="preserve">  "ruleset": "srd-5.1",</w:t>
      </w:r>
    </w:p>
    <w:p>
      <w:pPr>
        <w:spacing w:after="0"/>
      </w:pPr>
      <w:r>
        <w:rPr>
          <w:rFonts w:ascii="DejaVu Sans Mono" w:hAnsi="DejaVu Sans Mono"/>
          <w:sz w:val="14"/>
        </w:rPr>
        <w:t xml:space="preserve">  "category": "attack_modifier",</w:t>
      </w:r>
    </w:p>
    <w:p>
      <w:pPr>
        <w:spacing w:after="0"/>
      </w:pPr>
      <w:r>
        <w:rPr>
          <w:rFonts w:ascii="DejaVu Sans Mono" w:hAnsi="DejaVu Sans Mono"/>
          <w:sz w:val="14"/>
        </w:rPr>
        <w:t xml:space="preserve">  "conditions": [</w:t>
      </w:r>
    </w:p>
    <w:p>
      <w:pPr>
        <w:spacing w:after="0"/>
      </w:pPr>
      <w:r>
        <w:rPr>
          <w:rFonts w:ascii="DejaVu Sans Mono" w:hAnsi="DejaVu Sans Mono"/>
          <w:sz w:val="14"/>
        </w:rPr>
        <w:t xml:space="preserve">    "target.has_condition:prone",</w:t>
      </w:r>
    </w:p>
    <w:p>
      <w:pPr>
        <w:spacing w:after="0"/>
      </w:pPr>
      <w:r>
        <w:rPr>
          <w:rFonts w:ascii="DejaVu Sans Mono" w:hAnsi="DejaVu Sans Mono"/>
          <w:sz w:val="14"/>
        </w:rPr>
        <w:t xml:space="preserve">    "attacker.distance_ft&lt;=5"</w:t>
      </w:r>
    </w:p>
    <w:p>
      <w:pPr>
        <w:spacing w:after="0"/>
      </w:pPr>
      <w:r>
        <w:rPr>
          <w:rFonts w:ascii="DejaVu Sans Mono" w:hAnsi="DejaVu Sans Mono"/>
          <w:sz w:val="14"/>
        </w:rPr>
        <w:t xml:space="preserve">  ],</w:t>
      </w:r>
    </w:p>
    <w:p>
      <w:pPr>
        <w:spacing w:after="0"/>
      </w:pPr>
      <w:r>
        <w:rPr>
          <w:rFonts w:ascii="DejaVu Sans Mono" w:hAnsi="DejaVu Sans Mono"/>
          <w:sz w:val="14"/>
        </w:rPr>
        <w:t xml:space="preserve">  "effect": {</w:t>
      </w:r>
    </w:p>
    <w:p>
      <w:pPr>
        <w:spacing w:after="0"/>
      </w:pPr>
      <w:r>
        <w:rPr>
          <w:rFonts w:ascii="DejaVu Sans Mono" w:hAnsi="DejaVu Sans Mono"/>
          <w:sz w:val="14"/>
        </w:rPr>
        <w:t xml:space="preserve">    "type": "attack_advantage",</w:t>
      </w:r>
    </w:p>
    <w:p>
      <w:pPr>
        <w:spacing w:after="0"/>
      </w:pPr>
      <w:r>
        <w:rPr>
          <w:rFonts w:ascii="DejaVu Sans Mono" w:hAnsi="DejaVu Sans Mono"/>
          <w:sz w:val="14"/>
        </w:rPr>
        <w:t xml:space="preserve">    "value": true</w:t>
      </w:r>
    </w:p>
    <w:p>
      <w:pPr>
        <w:spacing w:after="0"/>
      </w:pPr>
      <w:r>
        <w:rPr>
          <w:rFonts w:ascii="DejaVu Sans Mono" w:hAnsi="DejaVu Sans Mono"/>
          <w:sz w:val="14"/>
        </w:rPr>
        <w:t xml:space="preserve">  },</w:t>
      </w:r>
    </w:p>
    <w:p>
      <w:pPr>
        <w:spacing w:after="0"/>
      </w:pPr>
      <w:r>
        <w:rPr>
          <w:rFonts w:ascii="DejaVu Sans Mono" w:hAnsi="DejaVu Sans Mono"/>
          <w:sz w:val="14"/>
        </w:rPr>
        <w:t xml:space="preserve">  "source": {</w:t>
      </w:r>
    </w:p>
    <w:p>
      <w:pPr>
        <w:spacing w:after="0"/>
      </w:pPr>
      <w:r>
        <w:rPr>
          <w:rFonts w:ascii="DejaVu Sans Mono" w:hAnsi="DejaVu Sans Mono"/>
          <w:sz w:val="14"/>
        </w:rPr>
        <w:t xml:space="preserve">    "document_id": "srd-5.1",</w:t>
      </w:r>
    </w:p>
    <w:p>
      <w:pPr>
        <w:spacing w:after="0"/>
      </w:pPr>
      <w:r>
        <w:rPr>
          <w:rFonts w:ascii="DejaVu Sans Mono" w:hAnsi="DejaVu Sans Mono"/>
          <w:sz w:val="14"/>
        </w:rPr>
        <w:t xml:space="preserve">    "section": "Conditions: Prone",</w:t>
      </w:r>
    </w:p>
    <w:p>
      <w:pPr>
        <w:spacing w:after="0"/>
      </w:pPr>
      <w:r>
        <w:rPr>
          <w:rFonts w:ascii="DejaVu Sans Mono" w:hAnsi="DejaVu Sans Mono"/>
          <w:sz w:val="14"/>
        </w:rPr>
        <w:t xml:space="preserve">    "page": null</w:t>
      </w:r>
    </w:p>
    <w:p>
      <w:pPr>
        <w:spacing w:after="0"/>
      </w:pPr>
      <w:r>
        <w:rPr>
          <w:rFonts w:ascii="DejaVu Sans Mono" w:hAnsi="DejaVu Sans Mono"/>
          <w:sz w:val="14"/>
        </w:rPr>
        <w:t xml:space="preserve">  },</w:t>
      </w:r>
    </w:p>
    <w:p>
      <w:pPr>
        <w:spacing w:after="0"/>
      </w:pPr>
      <w:r>
        <w:rPr>
          <w:rFonts w:ascii="DejaVu Sans Mono" w:hAnsi="DejaVu Sans Mono"/>
          <w:sz w:val="14"/>
        </w:rPr>
        <w:t xml:space="preserve">  "review_status": "pending"</w:t>
      </w:r>
    </w:p>
    <w:p>
      <w:pPr>
        <w:spacing w:after="0"/>
      </w:pPr>
      <w:r>
        <w:rPr>
          <w:rFonts w:ascii="DejaVu Sans Mono" w:hAnsi="DejaVu Sans Mono"/>
          <w:sz w:val="14"/>
        </w:rPr>
        <w:t>}</w:t>
      </w:r>
    </w:p>
    <w:p>
      <w:r>
        <w:t>真实实现需要严格的 DSL 解析器、执行时机、优先级和冲突机制；</w:t>
      </w:r>
      <w:r>
        <w:rPr>
          <w:rFonts w:ascii="DejaVu Sans Mono" w:hAnsi="DejaVu Sans Mono"/>
          <w:sz w:val="16"/>
        </w:rPr>
        <w:t>page</w:t>
      </w:r>
      <w:r>
        <w:t xml:space="preserve"> 仅在从文档获得真实页码映射后填充。</w:t>
      </w:r>
    </w:p>
    <w:p>
      <w:pPr>
        <w:pStyle w:val="Heading2"/>
      </w:pPr>
      <w:r>
        <w:t>3.5 战斗状态与事件模型</w:t>
      </w:r>
    </w:p>
    <w:p>
      <w:r>
        <w:t>命令示例：</w:t>
      </w:r>
      <w:r>
        <w:rPr>
          <w:rFonts w:ascii="DejaVu Sans Mono" w:hAnsi="DejaVu Sans Mono"/>
          <w:sz w:val="16"/>
        </w:rPr>
        <w:t>AttackCommand</w:t>
      </w:r>
      <w:r>
        <w:t>、</w:t>
      </w:r>
      <w:r>
        <w:rPr>
          <w:rFonts w:ascii="DejaVu Sans Mono" w:hAnsi="DejaVu Sans Mono"/>
          <w:sz w:val="16"/>
        </w:rPr>
        <w:t>CastSpellCommand</w:t>
      </w:r>
      <w:r>
        <w:t>、</w:t>
      </w:r>
      <w:r>
        <w:rPr>
          <w:rFonts w:ascii="DejaVu Sans Mono" w:hAnsi="DejaVu Sans Mono"/>
          <w:sz w:val="16"/>
        </w:rPr>
        <w:t>MoveCommand</w:t>
      </w:r>
      <w:r>
        <w:t>、</w:t>
      </w:r>
      <w:r>
        <w:rPr>
          <w:rFonts w:ascii="DejaVu Sans Mono" w:hAnsi="DejaVu Sans Mono"/>
          <w:sz w:val="16"/>
        </w:rPr>
        <w:t>EndTurnCommand</w:t>
      </w:r>
      <w:r>
        <w:t>、</w:t>
      </w:r>
      <w:r>
        <w:rPr>
          <w:rFonts w:ascii="DejaVu Sans Mono" w:hAnsi="DejaVu Sans Mono"/>
          <w:sz w:val="16"/>
        </w:rPr>
        <w:t>ApplyEffectCommand</w:t>
      </w:r>
      <w:r>
        <w:t>。</w:t>
      </w:r>
    </w:p>
    <w:p>
      <w:pPr>
        <w:spacing w:after="0"/>
      </w:pPr>
      <w:r>
        <w:rPr>
          <w:rFonts w:ascii="DejaVu Sans Mono" w:hAnsi="DejaVu Sans Mono"/>
          <w:sz w:val="14"/>
        </w:rPr>
        <w:t>命令 + 当前战斗状态</w:t>
      </w:r>
    </w:p>
    <w:p>
      <w:pPr>
        <w:spacing w:after="0"/>
      </w:pPr>
      <w:r>
        <w:rPr>
          <w:rFonts w:ascii="DejaVu Sans Mono" w:hAnsi="DejaVu Sans Mono"/>
          <w:sz w:val="14"/>
        </w:rPr>
        <w:t xml:space="preserve">    → 合法性与资源校验</w:t>
      </w:r>
    </w:p>
    <w:p>
      <w:pPr>
        <w:spacing w:after="0"/>
      </w:pPr>
      <w:r>
        <w:rPr>
          <w:rFonts w:ascii="DejaVu Sans Mono" w:hAnsi="DejaVu Sans Mono"/>
          <w:sz w:val="14"/>
        </w:rPr>
        <w:t xml:space="preserve">    → 规则查找、掷骰和修正值结算</w:t>
      </w:r>
    </w:p>
    <w:p>
      <w:pPr>
        <w:spacing w:after="0"/>
      </w:pPr>
      <w:r>
        <w:rPr>
          <w:rFonts w:ascii="DejaVu Sans Mono" w:hAnsi="DejaVu Sans Mono"/>
          <w:sz w:val="14"/>
        </w:rPr>
        <w:t xml:space="preserve">    → 效果与持续时间处理</w:t>
      </w:r>
    </w:p>
    <w:p>
      <w:pPr>
        <w:spacing w:after="0"/>
      </w:pPr>
      <w:r>
        <w:rPr>
          <w:rFonts w:ascii="DejaVu Sans Mono" w:hAnsi="DejaVu Sans Mono"/>
          <w:sz w:val="14"/>
        </w:rPr>
        <w:t xml:space="preserve">    → 新状态 + 事件日志 + 来源引用</w:t>
      </w:r>
    </w:p>
    <w:p>
      <w:r>
        <w:t>战斗状态应覆盖：轮数、先攻、行动者、HP、AC、速度、位置、行动额度、反应资源、状态、持续效果、法术位、骰子记录、DM 裁定记录。特别注意借机攻击等反应必须在触发时机插入，而非直接排在普通回合后。</w:t>
      </w:r>
    </w:p>
    <w:p>
      <w:pPr>
        <w:pStyle w:val="Heading2"/>
      </w:pPr>
      <w:r>
        <w:t>3.6 推荐目录</w:t>
      </w:r>
    </w:p>
    <w:p>
      <w:pPr>
        <w:spacing w:after="0"/>
      </w:pPr>
      <w:r>
        <w:rPr>
          <w:rFonts w:ascii="DejaVu Sans Mono" w:hAnsi="DejaVu Sans Mono"/>
          <w:sz w:val="14"/>
        </w:rPr>
        <w:t>ruleforge/</w:t>
      </w:r>
    </w:p>
    <w:p>
      <w:pPr>
        <w:spacing w:after="0"/>
      </w:pPr>
      <w:r>
        <w:rPr>
          <w:rFonts w:ascii="DejaVu Sans Mono" w:hAnsi="DejaVu Sans Mono"/>
          <w:sz w:val="14"/>
        </w:rPr>
        <w:t>├── frontend/</w:t>
      </w:r>
    </w:p>
    <w:p>
      <w:pPr>
        <w:spacing w:after="0"/>
      </w:pPr>
      <w:r>
        <w:rPr>
          <w:rFonts w:ascii="DejaVu Sans Mono" w:hAnsi="DejaVu Sans Mono"/>
          <w:sz w:val="14"/>
        </w:rPr>
        <w:t>│   ├── pages/{rules,characters,combat,homebrew}/</w:t>
      </w:r>
    </w:p>
    <w:p>
      <w:pPr>
        <w:spacing w:after="0"/>
      </w:pPr>
      <w:r>
        <w:rPr>
          <w:rFonts w:ascii="DejaVu Sans Mono" w:hAnsi="DejaVu Sans Mono"/>
          <w:sz w:val="14"/>
        </w:rPr>
        <w:t>│   └── components/</w:t>
      </w:r>
    </w:p>
    <w:p>
      <w:pPr>
        <w:spacing w:after="0"/>
      </w:pPr>
      <w:r>
        <w:rPr>
          <w:rFonts w:ascii="DejaVu Sans Mono" w:hAnsi="DejaVu Sans Mono"/>
          <w:sz w:val="14"/>
        </w:rPr>
        <w:t>├── backend/</w:t>
      </w:r>
    </w:p>
    <w:p>
      <w:pPr>
        <w:spacing w:after="0"/>
      </w:pPr>
      <w:r>
        <w:rPr>
          <w:rFonts w:ascii="DejaVu Sans Mono" w:hAnsi="DejaVu Sans Mono"/>
          <w:sz w:val="14"/>
        </w:rPr>
        <w:t>│   ├── api/</w:t>
      </w:r>
    </w:p>
    <w:p>
      <w:pPr>
        <w:spacing w:after="0"/>
      </w:pPr>
      <w:r>
        <w:rPr>
          <w:rFonts w:ascii="DejaVu Sans Mono" w:hAnsi="DejaVu Sans Mono"/>
          <w:sz w:val="14"/>
        </w:rPr>
        <w:t>│   ├── ingestion/             # xParse 适配、标准化、来源索引</w:t>
      </w:r>
    </w:p>
    <w:p>
      <w:pPr>
        <w:spacing w:after="0"/>
      </w:pPr>
      <w:r>
        <w:rPr>
          <w:rFonts w:ascii="DejaVu Sans Mono" w:hAnsi="DejaVu Sans Mono"/>
          <w:sz w:val="14"/>
        </w:rPr>
        <w:t>│   ├── rules/{schema,compiler,evaluator}/</w:t>
      </w:r>
    </w:p>
    <w:p>
      <w:pPr>
        <w:spacing w:after="0"/>
      </w:pPr>
      <w:r>
        <w:rPr>
          <w:rFonts w:ascii="DejaVu Sans Mono" w:hAnsi="DejaVu Sans Mono"/>
          <w:sz w:val="14"/>
        </w:rPr>
        <w:t>│   ├── combat/{dice,initiative,actions,attacks,damage,conditions,spells,state_machine}.py</w:t>
      </w:r>
    </w:p>
    <w:p>
      <w:pPr>
        <w:spacing w:after="0"/>
      </w:pPr>
      <w:r>
        <w:rPr>
          <w:rFonts w:ascii="DejaVu Sans Mono" w:hAnsi="DejaVu Sans Mono"/>
          <w:sz w:val="14"/>
        </w:rPr>
        <w:t>│   ├── characters/</w:t>
      </w:r>
    </w:p>
    <w:p>
      <w:pPr>
        <w:spacing w:after="0"/>
      </w:pPr>
      <w:r>
        <w:rPr>
          <w:rFonts w:ascii="DejaVu Sans Mono" w:hAnsi="DejaVu Sans Mono"/>
          <w:sz w:val="14"/>
        </w:rPr>
        <w:t>│   ├── persistence/</w:t>
      </w:r>
    </w:p>
    <w:p>
      <w:pPr>
        <w:spacing w:after="0"/>
      </w:pPr>
      <w:r>
        <w:rPr>
          <w:rFonts w:ascii="DejaVu Sans Mono" w:hAnsi="DejaVu Sans Mono"/>
          <w:sz w:val="14"/>
        </w:rPr>
        <w:t>│   └── tests/</w:t>
      </w:r>
    </w:p>
    <w:p>
      <w:pPr>
        <w:spacing w:after="0"/>
      </w:pPr>
      <w:r>
        <w:rPr>
          <w:rFonts w:ascii="DejaVu Sans Mono" w:hAnsi="DejaVu Sans Mono"/>
          <w:sz w:val="14"/>
        </w:rPr>
        <w:t>├── data/{raw,normalized,fixtures}/</w:t>
      </w:r>
    </w:p>
    <w:p>
      <w:pPr>
        <w:spacing w:after="0"/>
      </w:pPr>
      <w:r>
        <w:rPr>
          <w:rFonts w:ascii="DejaVu Sans Mono" w:hAnsi="DejaVu Sans Mono"/>
          <w:sz w:val="14"/>
        </w:rPr>
        <w:t>├── docs/{architecture,competition}/</w:t>
      </w:r>
    </w:p>
    <w:p>
      <w:pPr>
        <w:spacing w:after="0"/>
      </w:pPr>
      <w:r>
        <w:rPr>
          <w:rFonts w:ascii="DejaVu Sans Mono" w:hAnsi="DejaVu Sans Mono"/>
          <w:sz w:val="14"/>
        </w:rPr>
        <w:t>├── docs/rule-coverage.md</w:t>
      </w:r>
    </w:p>
    <w:p>
      <w:pPr>
        <w:spacing w:after="0"/>
      </w:pPr>
      <w:r>
        <w:rPr>
          <w:rFonts w:ascii="DejaVu Sans Mono" w:hAnsi="DejaVu Sans Mono"/>
          <w:sz w:val="14"/>
        </w:rPr>
        <w:t>└── README.md</w:t>
      </w:r>
    </w:p>
    <w:p>
      <w:r/>
      <w:r>
        <w:rPr>
          <w:rFonts w:ascii="DejaVu Sans Mono" w:hAnsi="DejaVu Sans Mono"/>
          <w:sz w:val="16"/>
        </w:rPr>
        <w:t>rule-coverage.md</w:t>
      </w:r>
      <w:r>
        <w:t xml:space="preserve"> 必须逐条标记：自动执行、部分执行、仅检索、未支持。</w:t>
      </w:r>
    </w:p>
    <w:p>
      <w:pPr>
        <w:pStyle w:val="Heading1"/>
      </w:pPr>
      <w:r>
        <w:t>4. 开发排期与里程碑</w:t>
      </w:r>
    </w:p>
    <w:p>
      <w:r/>
      <w:r>
        <w:rPr>
          <w:b/>
        </w:rPr>
        <w:t>参赛截止：2026-10-28 23:59:59；建议 10 月 23 日功能冻结，10 月 27 日前提前提交。</w:t>
      </w:r>
      <w:r/>
    </w:p>
    <w:tbl>
      <w:tblPr>
        <w:tblStyle w:val="LightShading-Accent1"/>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spacing w:after="20"/>
            </w:pPr>
            <w:r>
              <w:rPr>
                <w:sz w:val="16"/>
              </w:rPr>
              <w:t>日期</w:t>
            </w:r>
          </w:p>
        </w:tc>
        <w:tc>
          <w:tcPr>
            <w:tcW w:type="dxa" w:w="2422"/>
            <w:vAlign w:val="center"/>
          </w:tcPr>
          <w:p>
            <w:pPr>
              <w:spacing w:after="20"/>
            </w:pPr>
            <w:r>
              <w:rPr>
                <w:sz w:val="16"/>
              </w:rPr>
              <w:t>阶段</w:t>
            </w:r>
          </w:p>
        </w:tc>
        <w:tc>
          <w:tcPr>
            <w:tcW w:type="dxa" w:w="2422"/>
            <w:vAlign w:val="center"/>
          </w:tcPr>
          <w:p>
            <w:pPr>
              <w:spacing w:after="20"/>
            </w:pPr>
            <w:r>
              <w:rPr>
                <w:sz w:val="16"/>
              </w:rPr>
              <w:t>主要工作</w:t>
            </w:r>
          </w:p>
        </w:tc>
        <w:tc>
          <w:tcPr>
            <w:tcW w:type="dxa" w:w="2422"/>
            <w:vAlign w:val="center"/>
          </w:tcPr>
          <w:p>
            <w:pPr>
              <w:spacing w:after="20"/>
            </w:pPr>
            <w:r>
              <w:rPr>
                <w:sz w:val="16"/>
              </w:rPr>
              <w:t>验收里程碑</w:t>
            </w:r>
          </w:p>
        </w:tc>
      </w:tr>
      <w:tr>
        <w:tc>
          <w:tcPr>
            <w:tcW w:type="dxa" w:w="2422"/>
            <w:vAlign w:val="center"/>
          </w:tcPr>
          <w:p>
            <w:pPr>
              <w:spacing w:after="20"/>
            </w:pPr>
            <w:r>
              <w:rPr>
                <w:sz w:val="16"/>
              </w:rPr>
              <w:t>10/08—10/11</w:t>
            </w:r>
          </w:p>
        </w:tc>
        <w:tc>
          <w:tcPr>
            <w:tcW w:type="dxa" w:w="2422"/>
            <w:vAlign w:val="center"/>
          </w:tcPr>
          <w:p>
            <w:pPr>
              <w:spacing w:after="20"/>
            </w:pPr>
            <w:r>
              <w:rPr>
                <w:sz w:val="16"/>
              </w:rPr>
              <w:t>M1 文档解析与数据模型</w:t>
            </w:r>
          </w:p>
        </w:tc>
        <w:tc>
          <w:tcPr>
            <w:tcW w:type="dxa" w:w="2422"/>
            <w:vAlign w:val="center"/>
          </w:tcPr>
          <w:p>
            <w:pPr>
              <w:spacing w:after="20"/>
            </w:pPr>
            <w:r>
              <w:rPr>
                <w:sz w:val="16"/>
              </w:rPr>
              <w:t>官方 SRD 5.1、xParse 解析、来源映射、核心 Schema</w:t>
            </w:r>
          </w:p>
        </w:tc>
        <w:tc>
          <w:tcPr>
            <w:tcW w:type="dxa" w:w="2422"/>
            <w:vAlign w:val="center"/>
          </w:tcPr>
          <w:p>
            <w:pPr>
              <w:spacing w:after="20"/>
            </w:pPr>
            <w:r>
              <w:rPr>
                <w:sz w:val="16"/>
              </w:rPr>
              <w:t>一条规则完成真实解析与验证，可被程序求值</w:t>
            </w:r>
          </w:p>
        </w:tc>
      </w:tr>
      <w:tr>
        <w:tc>
          <w:tcPr>
            <w:tcW w:type="dxa" w:w="2422"/>
            <w:vAlign w:val="center"/>
          </w:tcPr>
          <w:p>
            <w:pPr>
              <w:spacing w:after="20"/>
            </w:pPr>
            <w:r>
              <w:rPr>
                <w:sz w:val="16"/>
              </w:rPr>
              <w:t>10/12—10/16</w:t>
            </w:r>
          </w:p>
        </w:tc>
        <w:tc>
          <w:tcPr>
            <w:tcW w:type="dxa" w:w="2422"/>
            <w:vAlign w:val="center"/>
          </w:tcPr>
          <w:p>
            <w:pPr>
              <w:spacing w:after="20"/>
            </w:pPr>
            <w:r>
              <w:rPr>
                <w:sz w:val="16"/>
              </w:rPr>
              <w:t>M2 角色、检索、战斗基础</w:t>
            </w:r>
          </w:p>
        </w:tc>
        <w:tc>
          <w:tcPr>
            <w:tcW w:type="dxa" w:w="2422"/>
            <w:vAlign w:val="center"/>
          </w:tcPr>
          <w:p>
            <w:pPr>
              <w:spacing w:after="20"/>
            </w:pPr>
            <w:r>
              <w:rPr>
                <w:sz w:val="16"/>
              </w:rPr>
              <w:t>角色模型、FTS 检索、骰子、先攻、AC、命中、伤害</w:t>
            </w:r>
          </w:p>
        </w:tc>
        <w:tc>
          <w:tcPr>
            <w:tcW w:type="dxa" w:w="2422"/>
            <w:vAlign w:val="center"/>
          </w:tcPr>
          <w:p>
            <w:pPr>
              <w:spacing w:after="20"/>
            </w:pPr>
            <w:r>
              <w:rPr>
                <w:sz w:val="16"/>
              </w:rPr>
              <w:t>角色可加入遭遇并完成基础攻防结算</w:t>
            </w:r>
          </w:p>
        </w:tc>
      </w:tr>
      <w:tr>
        <w:tc>
          <w:tcPr>
            <w:tcW w:type="dxa" w:w="2422"/>
            <w:vAlign w:val="center"/>
          </w:tcPr>
          <w:p>
            <w:pPr>
              <w:spacing w:after="20"/>
            </w:pPr>
            <w:r>
              <w:rPr>
                <w:sz w:val="16"/>
              </w:rPr>
              <w:t>10/17—10/21</w:t>
            </w:r>
          </w:p>
        </w:tc>
        <w:tc>
          <w:tcPr>
            <w:tcW w:type="dxa" w:w="2422"/>
            <w:vAlign w:val="center"/>
          </w:tcPr>
          <w:p>
            <w:pPr>
              <w:spacing w:after="20"/>
            </w:pPr>
            <w:r>
              <w:rPr>
                <w:sz w:val="16"/>
              </w:rPr>
              <w:t>M3 完整战斗流程</w:t>
            </w:r>
          </w:p>
        </w:tc>
        <w:tc>
          <w:tcPr>
            <w:tcW w:type="dxa" w:w="2422"/>
            <w:vAlign w:val="center"/>
          </w:tcPr>
          <w:p>
            <w:pPr>
              <w:spacing w:after="20"/>
            </w:pPr>
            <w:r>
              <w:rPr>
                <w:sz w:val="16"/>
              </w:rPr>
              <w:t>回合状态机、行动资源、状态、死亡豁免、法术基础、日志</w:t>
            </w:r>
          </w:p>
        </w:tc>
        <w:tc>
          <w:tcPr>
            <w:tcW w:type="dxa" w:w="2422"/>
            <w:vAlign w:val="center"/>
          </w:tcPr>
          <w:p>
            <w:pPr>
              <w:spacing w:after="20"/>
            </w:pPr>
            <w:r>
              <w:rPr>
                <w:sz w:val="16"/>
              </w:rPr>
              <w:t>2 名 PL + 2 名怪物完整运行至战斗结束</w:t>
            </w:r>
          </w:p>
        </w:tc>
      </w:tr>
      <w:tr>
        <w:tc>
          <w:tcPr>
            <w:tcW w:type="dxa" w:w="2422"/>
            <w:vAlign w:val="center"/>
          </w:tcPr>
          <w:p>
            <w:pPr>
              <w:spacing w:after="20"/>
            </w:pPr>
            <w:r>
              <w:rPr>
                <w:sz w:val="16"/>
              </w:rPr>
              <w:t>10/22—10/23</w:t>
            </w:r>
          </w:p>
        </w:tc>
        <w:tc>
          <w:tcPr>
            <w:tcW w:type="dxa" w:w="2422"/>
            <w:vAlign w:val="center"/>
          </w:tcPr>
          <w:p>
            <w:pPr>
              <w:spacing w:after="20"/>
            </w:pPr>
            <w:r>
              <w:rPr>
                <w:sz w:val="16"/>
              </w:rPr>
              <w:t>M4 Homebrew 与冻结</w:t>
            </w:r>
          </w:p>
        </w:tc>
        <w:tc>
          <w:tcPr>
            <w:tcW w:type="dxa" w:w="2422"/>
            <w:vAlign w:val="center"/>
          </w:tcPr>
          <w:p>
            <w:pPr>
              <w:spacing w:after="20"/>
            </w:pPr>
            <w:r>
              <w:rPr>
                <w:sz w:val="16"/>
              </w:rPr>
              <w:t>PDF 导入、字段校验、审核、可执行武器模板</w:t>
            </w:r>
          </w:p>
        </w:tc>
        <w:tc>
          <w:tcPr>
            <w:tcW w:type="dxa" w:w="2422"/>
            <w:vAlign w:val="center"/>
          </w:tcPr>
          <w:p>
            <w:pPr>
              <w:spacing w:after="20"/>
            </w:pPr>
            <w:r>
              <w:rPr>
                <w:sz w:val="16"/>
              </w:rPr>
              <w:t>自定义武器解析并参与战斗；功能冻结</w:t>
            </w:r>
          </w:p>
        </w:tc>
      </w:tr>
      <w:tr>
        <w:tc>
          <w:tcPr>
            <w:tcW w:type="dxa" w:w="2422"/>
            <w:vAlign w:val="center"/>
          </w:tcPr>
          <w:p>
            <w:pPr>
              <w:spacing w:after="20"/>
            </w:pPr>
            <w:r>
              <w:rPr>
                <w:sz w:val="16"/>
              </w:rPr>
              <w:t>10/24—10/28</w:t>
            </w:r>
          </w:p>
        </w:tc>
        <w:tc>
          <w:tcPr>
            <w:tcW w:type="dxa" w:w="2422"/>
            <w:vAlign w:val="center"/>
          </w:tcPr>
          <w:p>
            <w:pPr>
              <w:spacing w:after="20"/>
            </w:pPr>
            <w:r>
              <w:rPr>
                <w:sz w:val="16"/>
              </w:rPr>
              <w:t>M5 评测与提交</w:t>
            </w:r>
          </w:p>
        </w:tc>
        <w:tc>
          <w:tcPr>
            <w:tcW w:type="dxa" w:w="2422"/>
            <w:vAlign w:val="center"/>
          </w:tcPr>
          <w:p>
            <w:pPr>
              <w:spacing w:after="20"/>
            </w:pPr>
            <w:r>
              <w:rPr>
                <w:sz w:val="16"/>
              </w:rPr>
              <w:t>测试、录屏、PDF 文档、调用证明、提交</w:t>
            </w:r>
          </w:p>
        </w:tc>
        <w:tc>
          <w:tcPr>
            <w:tcW w:type="dxa" w:w="2422"/>
            <w:vAlign w:val="center"/>
          </w:tcPr>
          <w:p>
            <w:pPr>
              <w:spacing w:after="20"/>
            </w:pPr>
            <w:r>
              <w:rPr>
                <w:sz w:val="16"/>
              </w:rPr>
              <w:t>10/27 完成材料并尽量提前提交</w:t>
            </w:r>
          </w:p>
        </w:tc>
      </w:tr>
    </w:tbl>
    <w:p>
      <w:pPr>
        <w:pStyle w:val="Heading2"/>
      </w:pPr>
      <w:r>
        <w:t>4.1 M1：10 月 8—11 日</w:t>
      </w:r>
    </w:p>
    <w:p>
      <w:pPr>
        <w:pStyle w:val="ListBullet"/>
      </w:pPr>
      <w:r>
        <w:t>确认下载 SRD 5.1 CC BY 4.0 官方文档，保证版本唯一。</w:t>
      </w:r>
    </w:p>
    <w:p>
      <w:pPr>
        <w:pStyle w:val="ListBullet"/>
      </w:pPr>
      <w:r>
        <w:t>Codex 安装并调用 xParse 官方 Skill；检查凭证、额度、大小限制。</w:t>
      </w:r>
    </w:p>
    <w:p>
      <w:pPr>
        <w:pStyle w:val="ListBullet"/>
      </w:pPr>
      <w:r>
        <w:t>解析护甲、武器、职业表、状态及战斗规则；保留请求/响应及日志。</w:t>
      </w:r>
    </w:p>
    <w:p>
      <w:pPr>
        <w:pStyle w:val="ListBullet"/>
      </w:pPr>
      <w:r>
        <w:t xml:space="preserve">设计 </w:t>
      </w:r>
      <w:r>
        <w:rPr>
          <w:rFonts w:ascii="DejaVu Sans Mono" w:hAnsi="DejaVu Sans Mono"/>
          <w:sz w:val="16"/>
        </w:rPr>
        <w:t>Rule</w:t>
      </w:r>
      <w:r>
        <w:t>、</w:t>
      </w:r>
      <w:r>
        <w:rPr>
          <w:rFonts w:ascii="DejaVu Sans Mono" w:hAnsi="DejaVu Sans Mono"/>
          <w:sz w:val="16"/>
        </w:rPr>
        <w:t>Item</w:t>
      </w:r>
      <w:r>
        <w:t>、</w:t>
      </w:r>
      <w:r>
        <w:rPr>
          <w:rFonts w:ascii="DejaVu Sans Mono" w:hAnsi="DejaVu Sans Mono"/>
          <w:sz w:val="16"/>
        </w:rPr>
        <w:t>Character</w:t>
      </w:r>
      <w:r>
        <w:t>、</w:t>
      </w:r>
      <w:r>
        <w:rPr>
          <w:rFonts w:ascii="DejaVu Sans Mono" w:hAnsi="DejaVu Sans Mono"/>
          <w:sz w:val="16"/>
        </w:rPr>
        <w:t>Creature</w:t>
      </w:r>
      <w:r>
        <w:t>、</w:t>
      </w:r>
      <w:r>
        <w:rPr>
          <w:rFonts w:ascii="DejaVu Sans Mono" w:hAnsi="DejaVu Sans Mono"/>
          <w:sz w:val="16"/>
        </w:rPr>
        <w:t>CombatState</w:t>
      </w:r>
      <w:r>
        <w:t xml:space="preserve"> Schema。</w:t>
      </w:r>
    </w:p>
    <w:p>
      <w:pPr>
        <w:pStyle w:val="ListBullet"/>
      </w:pPr>
      <w:r>
        <w:t>建立数据库和自动测试；至少实现一条来源可追溯的 AC 规则。</w:t>
      </w:r>
    </w:p>
    <w:p>
      <w:pPr>
        <w:pStyle w:val="Heading2"/>
      </w:pPr>
      <w:r>
        <w:t>4.2 M2：10 月 12—16 日</w:t>
      </w:r>
    </w:p>
    <w:p>
      <w:pPr>
        <w:pStyle w:val="ListBullet"/>
      </w:pPr>
      <w:r>
        <w:t>规则查询、来源查看、角色创建和保存。</w:t>
      </w:r>
    </w:p>
    <w:p>
      <w:pPr>
        <w:pStyle w:val="ListBullet"/>
      </w:pPr>
      <w:r>
        <w:t>实现骰子引擎；可注入固定随机序列用于测试重放。</w:t>
      </w:r>
    </w:p>
    <w:p>
      <w:pPr>
        <w:pStyle w:val="ListBullet"/>
      </w:pPr>
      <w:r>
        <w:t>先攻、攻击、命中、优势/劣势、AC、伤害及临时 HP。</w:t>
      </w:r>
    </w:p>
    <w:p>
      <w:pPr>
        <w:pStyle w:val="ListBullet"/>
      </w:pPr>
      <w:r>
        <w:t>每项计算记录规则 ID、公式、骰值和状态变更。</w:t>
      </w:r>
    </w:p>
    <w:p>
      <w:pPr>
        <w:pStyle w:val="Heading2"/>
      </w:pPr>
      <w:r>
        <w:t>4.3 M3：10 月 17—21 日</w:t>
      </w:r>
    </w:p>
    <w:p>
      <w:pPr>
        <w:pStyle w:val="ListBullet"/>
      </w:pPr>
      <w:r>
        <w:t>完成战斗回合、行动资源、移动和结束判定。</w:t>
      </w:r>
    </w:p>
    <w:p>
      <w:pPr>
        <w:pStyle w:val="ListBullet"/>
      </w:pPr>
      <w:r>
        <w:t>处理基础状态、治疗、0 HP、死亡豁免及手动调整。</w:t>
      </w:r>
    </w:p>
    <w:p>
      <w:pPr>
        <w:pStyle w:val="ListBullet"/>
      </w:pPr>
      <w:r>
        <w:t>接入已验证的基础攻击/豁免法术、法术位管理。</w:t>
      </w:r>
    </w:p>
    <w:p>
      <w:pPr>
        <w:pStyle w:val="ListBullet"/>
      </w:pPr>
      <w:r>
        <w:t>保留反应触发时机、持续效果及 DM 裁定日志。</w:t>
      </w:r>
    </w:p>
    <w:p>
      <w:pPr>
        <w:pStyle w:val="Heading2"/>
      </w:pPr>
      <w:r>
        <w:t>4.4 M4：10 月 22—23 日</w:t>
      </w:r>
    </w:p>
    <w:p>
      <w:pPr>
        <w:pStyle w:val="ListBullet"/>
      </w:pPr>
      <w:r>
        <w:t>Homebrew PDF 上传、xParse 解析、规则草案与审查 UI。</w:t>
      </w:r>
    </w:p>
    <w:p>
      <w:pPr>
        <w:pStyle w:val="ListBullet"/>
      </w:pPr>
      <w:r>
        <w:t>支持自定义武器/怪物及限定模板的可执行效果。</w:t>
      </w:r>
    </w:p>
    <w:p>
      <w:pPr>
        <w:pStyle w:val="ListBullet"/>
      </w:pPr>
      <w:r>
        <w:t>在实际战斗里使用新导入的规则，形成前后对比证明。</w:t>
      </w:r>
    </w:p>
    <w:p>
      <w:pPr>
        <w:pStyle w:val="ListBullet"/>
      </w:pPr>
      <w:r>
        <w:t>冻结功能，停止开发新特性。</w:t>
      </w:r>
    </w:p>
    <w:p>
      <w:pPr>
        <w:pStyle w:val="Heading2"/>
      </w:pPr>
      <w:r>
        <w:t>4.5 M5：10 月 24—28 日</w:t>
      </w:r>
    </w:p>
    <w:p>
      <w:pPr>
        <w:pStyle w:val="ListBullet"/>
      </w:pPr>
      <w:r>
        <w:t>固化测试、复核准确率与来源。</w:t>
      </w:r>
    </w:p>
    <w:p>
      <w:pPr>
        <w:pStyle w:val="ListBullet"/>
      </w:pPr>
      <w:r>
        <w:t>录制“文档上传→解析→规则编译→角色创建→战斗→Homebrew”的完整流程。</w:t>
      </w:r>
    </w:p>
    <w:p>
      <w:pPr>
        <w:pStyle w:val="ListBullet"/>
      </w:pPr>
      <w:r>
        <w:t>完成不少于 1000 字的参赛说明 PDF，附 xParse 配置/调用截图。</w:t>
      </w:r>
    </w:p>
    <w:p>
      <w:pPr>
        <w:pStyle w:val="ListBullet"/>
      </w:pPr>
      <w:r>
        <w:t>提供可访问应用链接或完整录屏至少一种。</w:t>
      </w:r>
    </w:p>
    <w:p>
      <w:pPr>
        <w:pStyle w:val="ListBullet"/>
      </w:pPr>
      <w:r>
        <w:t>核对作品原创性、署名与资料授权；在官方表单提交。</w:t>
      </w:r>
    </w:p>
    <w:p>
      <w:pPr>
        <w:pStyle w:val="Heading1"/>
      </w:pPr>
      <w:r>
        <w:t>5. 测试与验收</w:t>
      </w:r>
    </w:p>
    <w:p>
      <w:r>
        <w:t>以下属于</w:t>
      </w:r>
      <w:r>
        <w:rPr>
          <w:b/>
        </w:rPr>
        <w:t>内部建议指标</w:t>
      </w:r>
      <w:r>
        <w:t>，不是赛事官方评分规则，也不是已实测结果。</w:t>
      </w:r>
    </w:p>
    <w:tbl>
      <w:tblPr>
        <w:tblStyle w:val="LightShading-Accent1"/>
        <w:tblW w:type="auto" w:w="0"/>
        <w:jc w:val="center"/>
        <w:tblLook w:firstColumn="1" w:firstRow="1" w:lastColumn="0" w:lastRow="0" w:noHBand="0" w:noVBand="1" w:val="04A0"/>
      </w:tblPr>
      <w:tblGrid>
        <w:gridCol w:w="4844"/>
        <w:gridCol w:w="4844"/>
      </w:tblGrid>
      <w:tr>
        <w:tc>
          <w:tcPr>
            <w:tcW w:type="dxa" w:w="4844"/>
            <w:vAlign w:val="center"/>
          </w:tcPr>
          <w:p>
            <w:pPr>
              <w:spacing w:after="20"/>
            </w:pPr>
            <w:r>
              <w:rPr>
                <w:sz w:val="16"/>
              </w:rPr>
              <w:t>指标</w:t>
            </w:r>
          </w:p>
        </w:tc>
        <w:tc>
          <w:tcPr>
            <w:tcW w:type="dxa" w:w="4844"/>
            <w:vAlign w:val="center"/>
          </w:tcPr>
          <w:p>
            <w:pPr>
              <w:spacing w:after="20"/>
            </w:pPr>
            <w:r>
              <w:rPr>
                <w:sz w:val="16"/>
              </w:rPr>
              <w:t>建议验收目标</w:t>
            </w:r>
          </w:p>
        </w:tc>
      </w:tr>
      <w:tr>
        <w:tc>
          <w:tcPr>
            <w:tcW w:type="dxa" w:w="4844"/>
            <w:vAlign w:val="center"/>
          </w:tcPr>
          <w:p>
            <w:pPr>
              <w:spacing w:after="20"/>
            </w:pPr>
            <w:r>
              <w:rPr>
                <w:sz w:val="16"/>
              </w:rPr>
              <w:t>已声明支持的 P0 规则</w:t>
            </w:r>
          </w:p>
        </w:tc>
        <w:tc>
          <w:tcPr>
            <w:tcW w:type="dxa" w:w="4844"/>
            <w:vAlign w:val="center"/>
          </w:tcPr>
          <w:p>
            <w:pPr>
              <w:spacing w:after="20"/>
            </w:pPr>
            <w:r>
              <w:rPr>
                <w:sz w:val="16"/>
              </w:rPr>
              <w:t>固定测试集中 100% 通过</w:t>
            </w:r>
          </w:p>
        </w:tc>
      </w:tr>
      <w:tr>
        <w:tc>
          <w:tcPr>
            <w:tcW w:type="dxa" w:w="4844"/>
            <w:vAlign w:val="center"/>
          </w:tcPr>
          <w:p>
            <w:pPr>
              <w:spacing w:after="20"/>
            </w:pPr>
            <w:r>
              <w:rPr>
                <w:sz w:val="16"/>
              </w:rPr>
              <w:t>战斗流程</w:t>
            </w:r>
          </w:p>
        </w:tc>
        <w:tc>
          <w:tcPr>
            <w:tcW w:type="dxa" w:w="4844"/>
            <w:vAlign w:val="center"/>
          </w:tcPr>
          <w:p>
            <w:pPr>
              <w:spacing w:after="20"/>
            </w:pPr>
            <w:r>
              <w:rPr>
                <w:sz w:val="16"/>
              </w:rPr>
              <w:t>≥3 种预设遭遇可成功运行</w:t>
            </w:r>
          </w:p>
        </w:tc>
      </w:tr>
      <w:tr>
        <w:tc>
          <w:tcPr>
            <w:tcW w:type="dxa" w:w="4844"/>
            <w:vAlign w:val="center"/>
          </w:tcPr>
          <w:p>
            <w:pPr>
              <w:spacing w:after="20"/>
            </w:pPr>
            <w:r>
              <w:rPr>
                <w:sz w:val="16"/>
              </w:rPr>
              <w:t>规则溯源</w:t>
            </w:r>
          </w:p>
        </w:tc>
        <w:tc>
          <w:tcPr>
            <w:tcW w:type="dxa" w:w="4844"/>
            <w:vAlign w:val="center"/>
          </w:tcPr>
          <w:p>
            <w:pPr>
              <w:spacing w:after="20"/>
            </w:pPr>
            <w:r>
              <w:rPr>
                <w:sz w:val="16"/>
              </w:rPr>
              <w:t>演示用规则 100% 有有效来源</w:t>
            </w:r>
          </w:p>
        </w:tc>
      </w:tr>
      <w:tr>
        <w:tc>
          <w:tcPr>
            <w:tcW w:type="dxa" w:w="4844"/>
            <w:vAlign w:val="center"/>
          </w:tcPr>
          <w:p>
            <w:pPr>
              <w:spacing w:after="20"/>
            </w:pPr>
            <w:r>
              <w:rPr>
                <w:sz w:val="16"/>
              </w:rPr>
              <w:t>Homebrew</w:t>
            </w:r>
          </w:p>
        </w:tc>
        <w:tc>
          <w:tcPr>
            <w:tcW w:type="dxa" w:w="4844"/>
            <w:vAlign w:val="center"/>
          </w:tcPr>
          <w:p>
            <w:pPr>
              <w:spacing w:after="20"/>
            </w:pPr>
            <w:r>
              <w:rPr>
                <w:sz w:val="16"/>
              </w:rPr>
              <w:t>≥2 个获授权的不同结构 PDF 成功解析并导入</w:t>
            </w:r>
          </w:p>
        </w:tc>
      </w:tr>
      <w:tr>
        <w:tc>
          <w:tcPr>
            <w:tcW w:type="dxa" w:w="4844"/>
            <w:vAlign w:val="center"/>
          </w:tcPr>
          <w:p>
            <w:pPr>
              <w:spacing w:after="20"/>
            </w:pPr>
            <w:r>
              <w:rPr>
                <w:sz w:val="16"/>
              </w:rPr>
              <w:t>异常管理</w:t>
            </w:r>
          </w:p>
        </w:tc>
        <w:tc>
          <w:tcPr>
            <w:tcW w:type="dxa" w:w="4844"/>
            <w:vAlign w:val="center"/>
          </w:tcPr>
          <w:p>
            <w:pPr>
              <w:spacing w:after="20"/>
            </w:pPr>
            <w:r>
              <w:rPr>
                <w:sz w:val="16"/>
              </w:rPr>
              <w:t>非法动作、缺失规则和解析失败均有明确提示</w:t>
            </w:r>
          </w:p>
        </w:tc>
      </w:tr>
      <w:tr>
        <w:tc>
          <w:tcPr>
            <w:tcW w:type="dxa" w:w="4844"/>
            <w:vAlign w:val="center"/>
          </w:tcPr>
          <w:p>
            <w:pPr>
              <w:spacing w:after="20"/>
            </w:pPr>
            <w:r>
              <w:rPr>
                <w:sz w:val="16"/>
              </w:rPr>
              <w:t>可复现性</w:t>
            </w:r>
          </w:p>
        </w:tc>
        <w:tc>
          <w:tcPr>
            <w:tcW w:type="dxa" w:w="4844"/>
            <w:vAlign w:val="center"/>
          </w:tcPr>
          <w:p>
            <w:pPr>
              <w:spacing w:after="20"/>
            </w:pPr>
            <w:r>
              <w:rPr>
                <w:sz w:val="16"/>
              </w:rPr>
              <w:t>固定骰子序列可重放一致的结果</w:t>
            </w:r>
          </w:p>
        </w:tc>
      </w:tr>
    </w:tbl>
    <w:p>
      <w:r>
        <w:t>三种演示测试：A. 战士对战哥布林（先攻、AC、伤害、HP）；B. 法师战斗（受支持法术、豁免、资源、状态）；C. Homebrew 武器（PDF→审核→装备→计算生效）。</w:t>
      </w:r>
    </w:p>
    <w:p>
      <w:pPr>
        <w:pStyle w:val="Heading1"/>
      </w:pPr>
      <w:r>
        <w:t>6. 风险与控制策略</w:t>
      </w:r>
    </w:p>
    <w:tbl>
      <w:tblPr>
        <w:tblStyle w:val="LightShading-Accent1"/>
        <w:tblW w:type="auto" w:w="0"/>
        <w:jc w:val="center"/>
        <w:tblLook w:firstColumn="1" w:firstRow="1" w:lastColumn="0" w:lastRow="0" w:noHBand="0" w:noVBand="1" w:val="04A0"/>
      </w:tblPr>
      <w:tblGrid>
        <w:gridCol w:w="4844"/>
        <w:gridCol w:w="4844"/>
      </w:tblGrid>
      <w:tr>
        <w:tc>
          <w:tcPr>
            <w:tcW w:type="dxa" w:w="4844"/>
            <w:vAlign w:val="center"/>
          </w:tcPr>
          <w:p>
            <w:pPr>
              <w:spacing w:after="20"/>
            </w:pPr>
            <w:r>
              <w:rPr>
                <w:sz w:val="16"/>
              </w:rPr>
              <w:t>风险</w:t>
            </w:r>
          </w:p>
        </w:tc>
        <w:tc>
          <w:tcPr>
            <w:tcW w:type="dxa" w:w="4844"/>
            <w:vAlign w:val="center"/>
          </w:tcPr>
          <w:p>
            <w:pPr>
              <w:spacing w:after="20"/>
            </w:pPr>
            <w:r>
              <w:rPr>
                <w:sz w:val="16"/>
              </w:rPr>
              <w:t>控制措施</w:t>
            </w:r>
          </w:p>
        </w:tc>
      </w:tr>
      <w:tr>
        <w:tc>
          <w:tcPr>
            <w:tcW w:type="dxa" w:w="4844"/>
            <w:vAlign w:val="center"/>
          </w:tcPr>
          <w:p>
            <w:pPr>
              <w:spacing w:after="20"/>
            </w:pPr>
            <w:r>
              <w:rPr>
                <w:sz w:val="16"/>
              </w:rPr>
              <w:t>PDF 表格误识别</w:t>
            </w:r>
          </w:p>
        </w:tc>
        <w:tc>
          <w:tcPr>
            <w:tcW w:type="dxa" w:w="4844"/>
            <w:vAlign w:val="center"/>
          </w:tcPr>
          <w:p>
            <w:pPr>
              <w:spacing w:after="20"/>
            </w:pPr>
            <w:r>
              <w:rPr>
                <w:sz w:val="16"/>
              </w:rPr>
              <w:t>用人工标注样本验证字段；保留原文与 Schema 错误报告</w:t>
            </w:r>
          </w:p>
        </w:tc>
      </w:tr>
      <w:tr>
        <w:tc>
          <w:tcPr>
            <w:tcW w:type="dxa" w:w="4844"/>
            <w:vAlign w:val="center"/>
          </w:tcPr>
          <w:p>
            <w:pPr>
              <w:spacing w:after="20"/>
            </w:pPr>
            <w:r>
              <w:rPr>
                <w:sz w:val="16"/>
              </w:rPr>
              <w:t>大模型幻觉影响规则</w:t>
            </w:r>
          </w:p>
        </w:tc>
        <w:tc>
          <w:tcPr>
            <w:tcW w:type="dxa" w:w="4844"/>
            <w:vAlign w:val="center"/>
          </w:tcPr>
          <w:p>
            <w:pPr>
              <w:spacing w:after="20"/>
            </w:pPr>
            <w:r>
              <w:rPr>
                <w:sz w:val="16"/>
              </w:rPr>
              <w:t>AI 仅用于检索、解释与候选抽取；计算由确定性引擎执行</w:t>
            </w:r>
          </w:p>
        </w:tc>
      </w:tr>
      <w:tr>
        <w:tc>
          <w:tcPr>
            <w:tcW w:type="dxa" w:w="4844"/>
            <w:vAlign w:val="center"/>
          </w:tcPr>
          <w:p>
            <w:pPr>
              <w:spacing w:after="20"/>
            </w:pPr>
            <w:r>
              <w:rPr>
                <w:sz w:val="16"/>
              </w:rPr>
              <w:t>法术和特殊动作规则过广</w:t>
            </w:r>
          </w:p>
        </w:tc>
        <w:tc>
          <w:tcPr>
            <w:tcW w:type="dxa" w:w="4844"/>
            <w:vAlign w:val="center"/>
          </w:tcPr>
          <w:p>
            <w:pPr>
              <w:spacing w:after="20"/>
            </w:pPr>
            <w:r>
              <w:rPr>
                <w:sz w:val="16"/>
              </w:rPr>
              <w:t>发布规则覆盖清单；不支持时要求 DM 裁定</w:t>
            </w:r>
          </w:p>
        </w:tc>
      </w:tr>
      <w:tr>
        <w:tc>
          <w:tcPr>
            <w:tcW w:type="dxa" w:w="4844"/>
            <w:vAlign w:val="center"/>
          </w:tcPr>
          <w:p>
            <w:pPr>
              <w:spacing w:after="20"/>
            </w:pPr>
            <w:r>
              <w:rPr>
                <w:sz w:val="16"/>
              </w:rPr>
              <w:t>状态或资源重复消耗</w:t>
            </w:r>
          </w:p>
        </w:tc>
        <w:tc>
          <w:tcPr>
            <w:tcW w:type="dxa" w:w="4844"/>
            <w:vAlign w:val="center"/>
          </w:tcPr>
          <w:p>
            <w:pPr>
              <w:spacing w:after="20"/>
            </w:pPr>
            <w:r>
              <w:rPr>
                <w:sz w:val="16"/>
              </w:rPr>
              <w:t>状态机 + 命令合法性检查 + 原子事件日志</w:t>
            </w:r>
          </w:p>
        </w:tc>
      </w:tr>
      <w:tr>
        <w:tc>
          <w:tcPr>
            <w:tcW w:type="dxa" w:w="4844"/>
            <w:vAlign w:val="center"/>
          </w:tcPr>
          <w:p>
            <w:pPr>
              <w:spacing w:after="20"/>
            </w:pPr>
            <w:r>
              <w:rPr>
                <w:sz w:val="16"/>
              </w:rPr>
              <w:t>AI 生成恶意执行代码</w:t>
            </w:r>
          </w:p>
        </w:tc>
        <w:tc>
          <w:tcPr>
            <w:tcW w:type="dxa" w:w="4844"/>
            <w:vAlign w:val="center"/>
          </w:tcPr>
          <w:p>
            <w:pPr>
              <w:spacing w:after="20"/>
            </w:pPr>
            <w:r>
              <w:rPr>
                <w:sz w:val="16"/>
              </w:rPr>
              <w:t>禁止执行生成代码；仅编译白名单 DSL</w:t>
            </w:r>
          </w:p>
        </w:tc>
      </w:tr>
      <w:tr>
        <w:tc>
          <w:tcPr>
            <w:tcW w:type="dxa" w:w="4844"/>
            <w:vAlign w:val="center"/>
          </w:tcPr>
          <w:p>
            <w:pPr>
              <w:spacing w:after="20"/>
            </w:pPr>
            <w:r>
              <w:rPr>
                <w:sz w:val="16"/>
              </w:rPr>
              <w:t>工期超限</w:t>
            </w:r>
          </w:p>
        </w:tc>
        <w:tc>
          <w:tcPr>
            <w:tcW w:type="dxa" w:w="4844"/>
            <w:vAlign w:val="center"/>
          </w:tcPr>
          <w:p>
            <w:pPr>
              <w:spacing w:after="20"/>
            </w:pPr>
            <w:r>
              <w:rPr>
                <w:sz w:val="16"/>
              </w:rPr>
              <w:t>10/21 必须达成战斗闭环；10/23 功能冻结</w:t>
            </w:r>
          </w:p>
        </w:tc>
      </w:tr>
      <w:tr>
        <w:tc>
          <w:tcPr>
            <w:tcW w:type="dxa" w:w="4844"/>
            <w:vAlign w:val="center"/>
          </w:tcPr>
          <w:p>
            <w:pPr>
              <w:spacing w:after="20"/>
            </w:pPr>
            <w:r>
              <w:rPr>
                <w:sz w:val="16"/>
              </w:rPr>
              <w:t>版权及规则版本混用</w:t>
            </w:r>
          </w:p>
        </w:tc>
        <w:tc>
          <w:tcPr>
            <w:tcW w:type="dxa" w:w="4844"/>
            <w:vAlign w:val="center"/>
          </w:tcPr>
          <w:p>
            <w:pPr>
              <w:spacing w:after="20"/>
            </w:pPr>
            <w:r>
              <w:rPr>
                <w:sz w:val="16"/>
              </w:rPr>
              <w:t>只以 CC BY 4.0 的 SRD 5.1 为基础；授权后方可使用其他文档</w:t>
            </w:r>
          </w:p>
        </w:tc>
      </w:tr>
    </w:tbl>
    <w:p>
      <w:pPr>
        <w:pStyle w:val="Heading1"/>
      </w:pPr>
      <w:r>
        <w:t>7. 参赛交付清单</w:t>
      </w:r>
    </w:p>
    <w:p>
      <w:pPr>
        <w:pStyle w:val="ListBullet"/>
      </w:pPr>
      <w:r>
        <w:t>- [ ] 作品名称与作品描述（RuleForge）。</w:t>
      </w:r>
    </w:p>
    <w:p>
      <w:pPr>
        <w:pStyle w:val="ListBullet"/>
      </w:pPr>
      <w:r>
        <w:t>- [ ] 作品说明 PDF 不少于 1000 字，包含介绍、技术方案、处理流程、效果。</w:t>
      </w:r>
    </w:p>
    <w:p>
      <w:pPr>
        <w:pStyle w:val="ListBullet"/>
      </w:pPr>
      <w:r>
        <w:t>- [ ] xParse 真实安装、配置和调用截图；保留原始解析文件与日志。</w:t>
      </w:r>
    </w:p>
    <w:p>
      <w:pPr>
        <w:pStyle w:val="ListBullet"/>
      </w:pPr>
      <w:r>
        <w:t>- [ ] 可访问的运行链接或完整演示录屏（至少一种）。</w:t>
      </w:r>
    </w:p>
    <w:p>
      <w:pPr>
        <w:pStyle w:val="ListBullet"/>
      </w:pPr>
      <w:r>
        <w:t>- [ ] 规则引用、计算测试与前后对比材料。</w:t>
      </w:r>
    </w:p>
    <w:p>
      <w:pPr>
        <w:pStyle w:val="ListBullet"/>
      </w:pPr>
      <w:r>
        <w:t>- [ ] 原创性、CC BY 4.0 署名与 Homebrew 文档授权核对。</w:t>
      </w:r>
    </w:p>
    <w:p>
      <w:pPr>
        <w:pStyle w:val="ListBullet"/>
      </w:pPr>
      <w:r>
        <w:t>- [ ] 2026-10-28 23:59:59 前完成官方提交，争取 10/27 提前提交。</w:t>
      </w:r>
    </w:p>
    <w:p>
      <w:pPr>
        <w:pStyle w:val="Heading1"/>
      </w:pPr>
      <w:r>
        <w:t>8. Codex 首轮任务说明</w:t>
      </w:r>
    </w:p>
    <w:p>
      <w:pPr>
        <w:pStyle w:val="Quote"/>
      </w:pPr>
      <w:r>
        <w:t>开发 RuleForge V1.0：基于 TextIn xParse 和 D&amp;D SRD 5.1 的规则检索、基础人物创建、完整战斗流程与 Homebrew 导入系统。技术栈 React + TypeScript、FastAPI、Pydantic、SQLite、pytest。第一阶段只实现项目骨架、官方 SRD 5.1 PDF 的真实 xParse 解析、来源追溯、规则数据模型及至少一条经验证的 AC 规则。必须保留实际解析产物、日志和错误；未经允许不得调用付费 API；禁止模拟解析成功。规则计算必须与 AI 文本生成分离；禁止直接执行大模型生成的代码。先设计模块、数据库 Schema、规则 DSL 草案及分阶段测试计划，再按里程碑编码；暂缓复杂前端。</w:t>
      </w:r>
    </w:p>
    <w:p>
      <w:pPr>
        <w:pStyle w:val="Heading1"/>
      </w:pPr>
      <w:r>
        <w:t>9. 官方资源与长期维护</w:t>
      </w:r>
    </w:p>
    <w:p>
      <w:pPr>
        <w:pStyle w:val="ListBullet"/>
      </w:pPr>
      <w:r>
        <w:t>大赛官网：https://builderx.csdn.net/activity-site/docawakening/pages?utm_medium=ad.986</w:t>
      </w:r>
    </w:p>
    <w:p>
      <w:pPr>
        <w:pStyle w:val="ListBullet"/>
      </w:pPr>
      <w:r>
        <w:t>参赛指南：https://hibg5d5t9s.feishu.cn/wiki/ByVNwLxZKiPf6AkDU7Hc2kGHnbh</w:t>
      </w:r>
    </w:p>
    <w:p>
      <w:pPr>
        <w:pStyle w:val="ListBullet"/>
      </w:pPr>
      <w:r>
        <w:t>作品提交：https://marketing.csdn.net/questions/Q2608311543171467490</w:t>
      </w:r>
    </w:p>
    <w:p>
      <w:pPr>
        <w:pStyle w:val="ListBullet"/>
      </w:pPr>
      <w:r>
        <w:t>TextIn xParse Skills：https://github.com/intsig-textin/xparse-skills</w:t>
      </w:r>
    </w:p>
    <w:p>
      <w:pPr>
        <w:pStyle w:val="ListBullet"/>
      </w:pPr>
      <w:r>
        <w:t>SRD 官方入口：https://www.dndbeyond.com/srd</w:t>
      </w:r>
    </w:p>
    <w:p>
      <w:r/>
      <w:r>
        <w:rPr>
          <w:b/>
        </w:rPr>
        <w:t>资料说明：</w:t>
      </w:r>
      <w:r>
        <w:t xml:space="preserve"> 本文以当前会话已经确定的产品设计及项目内已整理的比赛指南为基础，是实施方案而非软件已实现情况。xParse 命令参数、账户免费额度和参赛表单字段以实际调用及官方最新说明为准。</w:t>
      </w:r>
    </w:p>
    <w:p>
      <w:r/>
      <w:r>
        <w:rPr>
          <w:b/>
        </w:rPr>
        <w:t>维护建议：</w:t>
      </w:r>
      <w:r>
        <w:t xml:space="preserve"> 每次迭代同步更新 </w:t>
      </w:r>
      <w:r>
        <w:rPr>
          <w:rFonts w:ascii="DejaVu Sans Mono" w:hAnsi="DejaVu Sans Mono"/>
          <w:sz w:val="16"/>
        </w:rPr>
        <w:t>docs/rule-coverage.md</w:t>
      </w:r>
      <w:r>
        <w:t>、里程碑完成状态、规则验证用例、xParse 调用证据，以及本文版本号和修订日期。</w:t>
      </w:r>
    </w:p>
    <w:sectPr w:rsidR="00FC693F" w:rsidRPr="0006063C" w:rsidSect="00034616">
      <w:headerReference w:type="default" r:id="rId9"/>
      <w:footerReference w:type="default" r:id="rId10"/>
      <w:pgSz w:w="12240" w:h="15840"/>
      <w:pgMar w:top="1247"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RuleForge V1.0 · 2026-10-08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RULEFORGE  /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Noto Sans CJK SC" w:hAnsi="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b/>
      <w:bCs/>
      <w:color w:val="182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b/>
      <w:bCs/>
      <w:color w:val="18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b/>
      <w:bCs/>
      <w:color w:val="184E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b/>
      <w:color w:val="182F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