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sanfordcleaning.com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7/10</w:t>
              <w:br/>
              <w:t>On Track</w:t>
            </w:r>
          </w:p>
        </w:tc>
        <w:tc>
          <w:tcPr>
            <w:tcW w:type="dxa" w:w="3120"/>
            <w:shd w:fill="16A34A"/>
            <w:tcMar>
              <w:top w:w="100" w:type="dxa"/>
              <w:start w:w="100" w:type="dxa"/>
              <w:bottom w:w="100" w:type="dxa"/>
              <w:end w:w="100" w:type="dxa"/>
            </w:tcMar>
            <w:vAlign w:val="center"/>
          </w:tcPr>
          <w:p>
            <w:pPr>
              <w:jc w:val="center"/>
            </w:pPr>
            <w:r/>
            <w:r>
              <w:rPr>
                <w:rFonts w:ascii="Arial" w:hAnsi="Arial"/>
                <w:b/>
                <w:color w:val="FFFFFF"/>
                <w:sz w:val="30"/>
              </w:rPr>
              <w:t>GEO</w:t>
              <w:br/>
              <w:t>8/10</w:t>
              <w:br/>
              <w:t>Strong</w:t>
            </w:r>
          </w:p>
        </w:tc>
        <w:tc>
          <w:tcPr>
            <w:tcW w:type="dxa" w:w="3120"/>
            <w:shd w:fill="16A34A"/>
            <w:tcMar>
              <w:top w:w="100" w:type="dxa"/>
              <w:start w:w="100" w:type="dxa"/>
              <w:bottom w:w="100" w:type="dxa"/>
              <w:end w:w="100" w:type="dxa"/>
            </w:tcMar>
            <w:vAlign w:val="center"/>
          </w:tcPr>
          <w:p>
            <w:pPr>
              <w:jc w:val="center"/>
            </w:pPr>
            <w:r/>
            <w:r>
              <w:rPr>
                <w:rFonts w:ascii="Arial" w:hAnsi="Arial"/>
                <w:b/>
                <w:color w:val="FFFFFF"/>
                <w:sz w:val="30"/>
              </w:rPr>
              <w:t>AEO</w:t>
              <w:br/>
              <w:t>8/10</w:t>
              <w:br/>
              <w:t>Strong</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Sanford has the strongest AI-search foundation in the portfolio: rich local entity schema, FAQPage coverage, HowTo markup, Speakable targets, and a detailed llms.txt. The main risk is factual inconsistency: the site gives conflicting pricing floors ($80 versus $140–$350+) and conflicting experience claims (10+ years versus 2 years under the current company). Local identity is incomplete because no street address is published, and four guide pages are thin and carry only breadcrumb schema.</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16A34A"/>
          </w:tcPr>
          <w:p>
            <w:r>
              <w:rPr>
                <w:b/>
                <w:color w:val="FFFFFF"/>
              </w:rPr>
            </w:r>
            <w:r>
              <w:rPr>
                <w:rFonts w:ascii="Arial" w:hAnsi="Arial"/>
                <w:b/>
                <w:color w:val="FFFFFF"/>
                <w:sz w:val="16"/>
              </w:rPr>
              <w:t>8/10</w:t>
            </w:r>
          </w:p>
        </w:tc>
        <w:tc>
          <w:tcPr>
            <w:tcW w:type="dxa" w:w="3120"/>
            <w:vAlign w:val="center"/>
            <w:tcMar>
              <w:top w:w="100" w:type="dxa"/>
              <w:start w:w="100" w:type="dxa"/>
              <w:bottom w:w="100" w:type="dxa"/>
              <w:end w:w="100" w:type="dxa"/>
            </w:tcMar>
            <w:shd w:fill="F8F9FA"/>
          </w:tcPr>
          <w:p>
            <w:r/>
            <w:r>
              <w:rPr>
                <w:rFonts w:ascii="Arial" w:hAnsi="Arial"/>
                <w:b w:val="0"/>
                <w:color w:val="1E293B"/>
                <w:sz w:val="16"/>
              </w:rPr>
              <w:t>Strong</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16A34A"/>
          </w:tcPr>
          <w:p>
            <w:r>
              <w:rPr>
                <w:b/>
                <w:color w:val="FFFFFF"/>
              </w:rPr>
            </w:r>
            <w:r>
              <w:rPr>
                <w:rFonts w:ascii="Arial" w:hAnsi="Arial"/>
                <w:b/>
                <w:color w:val="FFFFFF"/>
                <w:sz w:val="16"/>
              </w:rPr>
              <w:t>8/10</w:t>
            </w:r>
          </w:p>
        </w:tc>
        <w:tc>
          <w:tcPr>
            <w:tcW w:type="dxa" w:w="3120"/>
            <w:vAlign w:val="center"/>
            <w:tcMar>
              <w:top w:w="100" w:type="dxa"/>
              <w:start w:w="100" w:type="dxa"/>
              <w:bottom w:w="100" w:type="dxa"/>
              <w:end w:w="100" w:type="dxa"/>
            </w:tcMar>
          </w:tcPr>
          <w:p>
            <w:r/>
            <w:r>
              <w:rPr>
                <w:rFonts w:ascii="Arial" w:hAnsi="Arial"/>
                <w:b w:val="0"/>
                <w:color w:val="1E293B"/>
                <w:sz w:val="16"/>
              </w:rPr>
              <w:t>Strong</w:t>
            </w:r>
          </w:p>
        </w:tc>
      </w:tr>
    </w:tbl>
    <w:p/>
    <w:p>
      <w:pPr>
        <w:pStyle w:val="Heading1"/>
      </w:pPr>
      <w:r>
        <w:t>Crawl Scope</w:t>
      </w:r>
    </w:p>
    <w:p>
      <w:r>
        <w:t>37 pages: homepage, About, FAQ, Guides index, 11 service pages, booking/custom quote/careers, and 15 guide articles; robots.txt, sitemap.xml, and llms.txt also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Title tags</w:t>
            </w:r>
          </w:p>
        </w:tc>
        <w:tc>
          <w:tcPr>
            <w:tcW w:type="dxa" w:w="6048"/>
            <w:vAlign w:val="center"/>
            <w:tcMar>
              <w:top w:w="100" w:type="dxa"/>
              <w:start w:w="100" w:type="dxa"/>
              <w:bottom w:w="100" w:type="dxa"/>
              <w:end w:w="100" w:type="dxa"/>
            </w:tcMar>
          </w:tcPr>
          <w:p>
            <w:r/>
            <w:r>
              <w:rPr>
                <w:rFonts w:ascii="Arial" w:hAnsi="Arial"/>
                <w:b w:val="0"/>
                <w:color w:val="1E293B"/>
                <w:sz w:val="16"/>
              </w:rPr>
              <w:t>34 of 37 audited titles exceed 60 characters; most key pages are likely to truncate.</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Technical hygiene</w:t>
            </w:r>
          </w:p>
        </w:tc>
        <w:tc>
          <w:tcPr>
            <w:tcW w:type="dxa" w:w="6048"/>
            <w:vAlign w:val="center"/>
            <w:tcMar>
              <w:top w:w="100" w:type="dxa"/>
              <w:start w:w="100" w:type="dxa"/>
              <w:bottom w:w="100" w:type="dxa"/>
              <w:end w:w="100" w:type="dxa"/>
            </w:tcMar>
            <w:shd w:fill="F8F9FA"/>
          </w:tcPr>
          <w:p>
            <w:r/>
            <w:r>
              <w:rPr>
                <w:rFonts w:ascii="Arial" w:hAnsi="Arial"/>
                <w:b w:val="0"/>
                <w:color w:val="1E293B"/>
                <w:sz w:val="16"/>
              </w:rPr>
              <w:t>HTTPS, HSTS/CSP, self-canonicals, index/follow, viewport, OG/Twitter and descriptive image alts are present.</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Content depth</w:t>
            </w:r>
          </w:p>
        </w:tc>
        <w:tc>
          <w:tcPr>
            <w:tcW w:type="dxa" w:w="6048"/>
            <w:vAlign w:val="center"/>
            <w:tcMar>
              <w:top w:w="100" w:type="dxa"/>
              <w:start w:w="100" w:type="dxa"/>
              <w:bottom w:w="100" w:type="dxa"/>
              <w:end w:w="100" w:type="dxa"/>
            </w:tcMar>
          </w:tcPr>
          <w:p>
            <w:r/>
            <w:r>
              <w:rPr>
                <w:rFonts w:ascii="Arial" w:hAnsi="Arial"/>
                <w:b w:val="0"/>
                <w:color w:val="1E293B"/>
                <w:sz w:val="16"/>
              </w:rPr>
              <w:t>Major service pages contain roughly 850–1,400 words and are well interlinked.</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Fact consistency</w:t>
            </w:r>
          </w:p>
        </w:tc>
        <w:tc>
          <w:tcPr>
            <w:tcW w:type="dxa" w:w="6048"/>
            <w:vAlign w:val="center"/>
            <w:tcMar>
              <w:top w:w="100" w:type="dxa"/>
              <w:start w:w="100" w:type="dxa"/>
              <w:bottom w:w="100" w:type="dxa"/>
              <w:end w:w="100" w:type="dxa"/>
            </w:tcMar>
            <w:shd w:fill="F8F9FA"/>
          </w:tcPr>
          <w:p>
            <w:r/>
            <w:r>
              <w:rPr>
                <w:rFonts w:ascii="Arial" w:hAnsi="Arial"/>
                <w:b w:val="0"/>
                <w:color w:val="1E293B"/>
                <w:sz w:val="16"/>
              </w:rPr>
              <w:t>Homepage/FAQ advertise $80 starts while pricing guides state $140–$350+ and $170–$240 packages.</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Thin content</w:t>
            </w:r>
          </w:p>
        </w:tc>
        <w:tc>
          <w:tcPr>
            <w:tcW w:type="dxa" w:w="6048"/>
            <w:vAlign w:val="center"/>
            <w:tcMar>
              <w:top w:w="100" w:type="dxa"/>
              <w:start w:w="100" w:type="dxa"/>
              <w:bottom w:w="100" w:type="dxa"/>
              <w:end w:w="100" w:type="dxa"/>
            </w:tcMar>
          </w:tcPr>
          <w:p>
            <w:r/>
            <w:r>
              <w:rPr>
                <w:rFonts w:ascii="Arial" w:hAnsi="Arial"/>
                <w:b w:val="0"/>
                <w:color w:val="1E293B"/>
                <w:sz w:val="16"/>
              </w:rPr>
              <w:t>Four comparison/deals guides contain only about 343–400 words and BreadcrumbList schema.</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AI discoverability</w:t>
            </w:r>
          </w:p>
        </w:tc>
        <w:tc>
          <w:tcPr>
            <w:tcW w:type="dxa" w:w="6048"/>
            <w:vAlign w:val="center"/>
            <w:tcMar>
              <w:top w:w="100" w:type="dxa"/>
              <w:start w:w="100" w:type="dxa"/>
              <w:bottom w:w="100" w:type="dxa"/>
              <w:end w:w="100" w:type="dxa"/>
            </w:tcMar>
            <w:shd w:fill="F8F9FA"/>
          </w:tcPr>
          <w:p>
            <w:r/>
            <w:r>
              <w:rPr>
                <w:rFonts w:ascii="Arial" w:hAnsi="Arial"/>
                <w:b w:val="0"/>
                <w:color w:val="1E293B"/>
                <w:sz w:val="16"/>
              </w:rPr>
              <w:t>llms.txt provides brand facts, pricing, CTAs and entities; three guides expose Speakable targets.</w:t>
            </w:r>
          </w:p>
        </w:tc>
        <w:tc>
          <w:tcPr>
            <w:tcW w:type="dxa" w:w="1440"/>
            <w:vAlign w:val="center"/>
            <w:tcMar>
              <w:top w:w="100" w:type="dxa"/>
              <w:start w:w="100" w:type="dxa"/>
              <w:bottom w:w="100" w:type="dxa"/>
              <w:end w:w="100" w:type="dxa"/>
            </w:tcMar>
            <w:shd w:fill="F8F9FA"/>
          </w:tcPr>
          <w:p>
            <w:r/>
            <w:r>
              <w:rPr>
                <w:rFonts w:ascii="Arial" w:hAnsi="Arial"/>
                <w:b w:val="0"/>
                <w:color w:val="1E293B"/>
                <w:sz w:val="16"/>
              </w:rPr>
              <w:t>Good</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E-E-A-T</w:t>
            </w:r>
          </w:p>
        </w:tc>
        <w:tc>
          <w:tcPr>
            <w:tcW w:type="dxa" w:w="6048"/>
            <w:vAlign w:val="center"/>
            <w:tcMar>
              <w:top w:w="100" w:type="dxa"/>
              <w:start w:w="100" w:type="dxa"/>
              <w:bottom w:w="100" w:type="dxa"/>
              <w:end w:w="100" w:type="dxa"/>
            </w:tcMar>
          </w:tcPr>
          <w:p>
            <w:r/>
            <w:r>
              <w:rPr>
                <w:rFonts w:ascii="Arial" w:hAnsi="Arial"/>
                <w:b w:val="0"/>
                <w:color w:val="1E293B"/>
                <w:sz w:val="16"/>
              </w:rPr>
              <w:t>Topaz West LLC is named, but authors are generic and no named team biographies or review evidence were found.</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Entity consistency</w:t>
            </w:r>
          </w:p>
        </w:tc>
        <w:tc>
          <w:tcPr>
            <w:tcW w:type="dxa" w:w="6048"/>
            <w:vAlign w:val="center"/>
            <w:tcMar>
              <w:top w:w="100" w:type="dxa"/>
              <w:start w:w="100" w:type="dxa"/>
              <w:bottom w:w="100" w:type="dxa"/>
              <w:end w:w="100" w:type="dxa"/>
            </w:tcMar>
            <w:shd w:fill="F8F9FA"/>
          </w:tcPr>
          <w:p>
            <w:r/>
            <w:r>
              <w:rPr>
                <w:rFonts w:ascii="Arial" w:hAnsi="Arial"/>
                <w:b w:val="0"/>
                <w:color w:val="1E293B"/>
                <w:sz w:val="16"/>
              </w:rPr>
              <w:t>10+ years, 2 years, and 5–7 years appear across pages, weakening machine trust.</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Structured answers</w:t>
            </w:r>
          </w:p>
        </w:tc>
        <w:tc>
          <w:tcPr>
            <w:tcW w:type="dxa" w:w="6048"/>
            <w:vAlign w:val="center"/>
            <w:tcMar>
              <w:top w:w="100" w:type="dxa"/>
              <w:start w:w="100" w:type="dxa"/>
              <w:bottom w:w="100" w:type="dxa"/>
              <w:end w:w="100" w:type="dxa"/>
            </w:tcMar>
          </w:tcPr>
          <w:p>
            <w:r/>
            <w:r>
              <w:rPr>
                <w:rFonts w:ascii="Arial" w:hAnsi="Arial"/>
                <w:b w:val="0"/>
                <w:color w:val="1E293B"/>
                <w:sz w:val="16"/>
              </w:rPr>
              <w:t>FAQPage appears on roughly 27 pages; HowTo exists on Airbnb, move-out and booking content.</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Voice/local</w:t>
            </w:r>
          </w:p>
        </w:tc>
        <w:tc>
          <w:tcPr>
            <w:tcW w:type="dxa" w:w="6048"/>
            <w:vAlign w:val="center"/>
            <w:tcMar>
              <w:top w:w="100" w:type="dxa"/>
              <w:start w:w="100" w:type="dxa"/>
              <w:bottom w:w="100" w:type="dxa"/>
              <w:end w:w="100" w:type="dxa"/>
            </w:tcMar>
            <w:shd w:fill="F8F9FA"/>
          </w:tcPr>
          <w:p>
            <w:r/>
            <w:r>
              <w:rPr>
                <w:rFonts w:ascii="Arial" w:hAnsi="Arial"/>
                <w:b w:val="0"/>
                <w:color w:val="1E293B"/>
                <w:sz w:val="16"/>
              </w:rPr>
              <w:t>Phone, email, hours and service areas are present, but streetAddress is absent.</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Unify all pricing statements and schema answers around one source of truth.</w:t>
            </w:r>
          </w:p>
        </w:tc>
        <w:tc>
          <w:tcPr>
            <w:tcW w:type="dxa" w:w="1440"/>
            <w:vAlign w:val="center"/>
            <w:tcMar>
              <w:top w:w="100" w:type="dxa"/>
              <w:start w:w="100" w:type="dxa"/>
              <w:bottom w:w="100" w:type="dxa"/>
              <w:end w:w="100" w:type="dxa"/>
            </w:tcMar>
          </w:tcPr>
          <w:p>
            <w:r/>
            <w:r>
              <w:rPr>
                <w:rFonts w:ascii="Arial" w:hAnsi="Arial"/>
                <w:b w:val="0"/>
                <w:color w:val="1E293B"/>
                <w:sz w:val="16"/>
              </w:rPr>
              <w:t>SEO/GEO/AEO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Reconcile years-in-business claims with a precise company/history statement.</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Publish complete NAP or explicitly document a service-area/mobile-business address policy.</w:t>
            </w:r>
          </w:p>
        </w:tc>
        <w:tc>
          <w:tcPr>
            <w:tcW w:type="dxa" w:w="1440"/>
            <w:vAlign w:val="center"/>
            <w:tcMar>
              <w:top w:w="100" w:type="dxa"/>
              <w:start w:w="100" w:type="dxa"/>
              <w:bottom w:w="100" w:type="dxa"/>
              <w:end w:w="100" w:type="dxa"/>
            </w:tcMar>
          </w:tcPr>
          <w:p>
            <w:r/>
            <w:r>
              <w:rPr>
                <w:rFonts w:ascii="Arial" w:hAnsi="Arial"/>
                <w:b w:val="0"/>
                <w:color w:val="1E293B"/>
                <w:sz w:val="16"/>
              </w:rPr>
              <w:t>Local/AEO</w:t>
            </w:r>
          </w:p>
        </w:tc>
        <w:tc>
          <w:tcPr>
            <w:tcW w:type="dxa" w:w="1152"/>
            <w:vAlign w:val="center"/>
            <w:tcMar>
              <w:top w:w="100" w:type="dxa"/>
              <w:start w:w="100" w:type="dxa"/>
              <w:bottom w:w="100" w:type="dxa"/>
              <w:end w:w="100" w:type="dxa"/>
            </w:tcMar>
          </w:tcPr>
          <w:p>
            <w:r/>
            <w:r>
              <w:rPr>
                <w:rFonts w:ascii="Arial" w:hAnsi="Arial"/>
                <w:b w:val="0"/>
                <w:color w:val="1E293B"/>
                <w:sz w:val="16"/>
              </w:rPr>
              <w:t>Low–Medium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Expand four thin guides to 800–1,200 words with tables, FAQs and Article schema.</w:t>
            </w:r>
          </w:p>
        </w:tc>
        <w:tc>
          <w:tcPr>
            <w:tcW w:type="dxa" w:w="1440"/>
            <w:vAlign w:val="center"/>
            <w:tcMar>
              <w:top w:w="100" w:type="dxa"/>
              <w:start w:w="100" w:type="dxa"/>
              <w:bottom w:w="100" w:type="dxa"/>
              <w:end w:w="100" w:type="dxa"/>
            </w:tcMar>
            <w:shd w:fill="F8F9FA"/>
          </w:tcPr>
          <w:p>
            <w:r/>
            <w:r>
              <w:rPr>
                <w:rFonts w:ascii="Arial" w:hAnsi="Arial"/>
                <w:b w:val="0"/>
                <w:color w:val="1E293B"/>
                <w:sz w:val="16"/>
              </w:rPr>
              <w:t>SEO/AEO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tcPr>
          <w:p>
            <w:r/>
            <w:r>
              <w:rPr>
                <w:rFonts w:ascii="Arial" w:hAnsi="Arial"/>
                <w:b w:val="0"/>
                <w:color w:val="1E293B"/>
                <w:sz w:val="16"/>
              </w:rPr>
              <w:t>Shorten titles to roughly 50–60 characters.</w:t>
            </w:r>
          </w:p>
        </w:tc>
        <w:tc>
          <w:tcPr>
            <w:tcW w:type="dxa" w:w="1440"/>
            <w:vAlign w:val="center"/>
            <w:tcMar>
              <w:top w:w="100" w:type="dxa"/>
              <w:start w:w="100" w:type="dxa"/>
              <w:bottom w:w="100" w:type="dxa"/>
              <w:end w:w="100" w:type="dxa"/>
            </w:tcMar>
          </w:tcPr>
          <w:p>
            <w:r/>
            <w:r>
              <w:rPr>
                <w:rFonts w:ascii="Arial" w:hAnsi="Arial"/>
                <w:b w:val="0"/>
                <w:color w:val="1E293B"/>
                <w:sz w:val="16"/>
              </w:rPr>
              <w:t>SEO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shd w:fill="F8F9FA"/>
          </w:tcPr>
          <w:p>
            <w:r/>
            <w:r>
              <w:rPr>
                <w:rFonts w:ascii="Arial" w:hAnsi="Arial"/>
                <w:b w:val="0"/>
                <w:color w:val="1E293B"/>
                <w:sz w:val="16"/>
              </w:rPr>
              <w:t>Add named expert authors and verified review evidence.</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Production-grade llms.txt</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FAQ/HowTo/Speakable coverage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First-party Sanford pricing and humidity content</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Strong security and crawlability</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sanfordcleaning.com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