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8DA3" w14:textId="5FDC7333" w:rsidR="00D52915" w:rsidRPr="00D52915" w:rsidRDefault="00D52915" w:rsidP="00D529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179A">
        <w:rPr>
          <w:rFonts w:ascii="Times New Roman" w:eastAsia="Times New Roman" w:hAnsi="Times New Roman" w:cs="Times New Roman"/>
          <w:b/>
          <w:bCs/>
          <w:kern w:val="36"/>
          <w:sz w:val="40"/>
          <w:szCs w:val="40"/>
          <w14:ligatures w14:val="none"/>
        </w:rPr>
        <w:t>Personal Tax Questionnaire</w:t>
      </w:r>
      <w:r w:rsidR="0004179A" w:rsidRPr="0004179A">
        <w:rPr>
          <w:rFonts w:ascii="Times New Roman" w:eastAsia="Times New Roman" w:hAnsi="Times New Roman" w:cs="Times New Roman"/>
          <w:b/>
          <w:bCs/>
          <w:kern w:val="36"/>
          <w:sz w:val="40"/>
          <w:szCs w:val="40"/>
          <w14:ligatures w14:val="none"/>
        </w:rPr>
        <w:t xml:space="preserve"> 2025 </w:t>
      </w:r>
      <w:r w:rsidR="0004179A" w:rsidRPr="0004179A">
        <w:rPr>
          <w:rFonts w:ascii="Times New Roman" w:eastAsia="Times New Roman" w:hAnsi="Times New Roman" w:cs="Times New Roman"/>
          <w:b/>
          <w:bCs/>
          <w:kern w:val="36"/>
          <w:sz w:val="32"/>
          <w:szCs w:val="32"/>
          <w14:ligatures w14:val="none"/>
        </w:rPr>
        <w:t>Tax year</w:t>
      </w:r>
    </w:p>
    <w:p w14:paraId="3B34A256" w14:textId="325C79CE" w:rsidR="00D52915" w:rsidRPr="00D52915" w:rsidRDefault="00D52915" w:rsidP="00D52915">
      <w:pPr>
        <w:spacing w:after="0" w:line="240" w:lineRule="auto"/>
        <w:rPr>
          <w:rFonts w:ascii="Times New Roman" w:eastAsia="Times New Roman" w:hAnsi="Times New Roman" w:cs="Times New Roman"/>
          <w:kern w:val="0"/>
          <w14:ligatures w14:val="none"/>
        </w:rPr>
      </w:pPr>
    </w:p>
    <w:p w14:paraId="6D4485B2" w14:textId="77777777"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SECTION 1 — BASIC TAX INFORMATION</w:t>
      </w:r>
    </w:p>
    <w:p w14:paraId="78C9F04D"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Purpose:</w:t>
      </w:r>
      <w:r w:rsidRPr="00D52915">
        <w:rPr>
          <w:rFonts w:ascii="Times New Roman" w:eastAsia="Times New Roman" w:hAnsi="Times New Roman" w:cs="Times New Roman"/>
          <w:kern w:val="0"/>
          <w14:ligatures w14:val="none"/>
        </w:rPr>
        <w:t xml:space="preserve"> Determines filing status, tax rates, and eligibility for deductions and credits.</w:t>
      </w:r>
    </w:p>
    <w:p w14:paraId="7614B6BA" w14:textId="77777777" w:rsidR="00D52915" w:rsidRDefault="00D52915" w:rsidP="00D529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Name(s): ______________________________________</w:t>
      </w:r>
    </w:p>
    <w:p w14:paraId="1877BBE2" w14:textId="61512B9F" w:rsidR="0004179A" w:rsidRPr="00D52915" w:rsidRDefault="0004179A" w:rsidP="00D529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Name </w:t>
      </w:r>
      <w:proofErr w:type="spellStart"/>
      <w:r>
        <w:rPr>
          <w:rFonts w:ascii="Times New Roman" w:eastAsia="Times New Roman" w:hAnsi="Times New Roman" w:cs="Times New Roman"/>
          <w:kern w:val="0"/>
          <w14:ligatures w14:val="none"/>
        </w:rPr>
        <w:t>spose</w:t>
      </w:r>
      <w:proofErr w:type="spellEnd"/>
      <w:r>
        <w:rPr>
          <w:rFonts w:ascii="Times New Roman" w:eastAsia="Times New Roman" w:hAnsi="Times New Roman" w:cs="Times New Roman"/>
          <w:kern w:val="0"/>
          <w14:ligatures w14:val="none"/>
        </w:rPr>
        <w:t>:</w:t>
      </w:r>
    </w:p>
    <w:p w14:paraId="13B2E80C" w14:textId="77777777" w:rsidR="00D52915" w:rsidRPr="00D52915" w:rsidRDefault="00D52915" w:rsidP="00D529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SSN / ITIN: ____________________________________</w:t>
      </w:r>
    </w:p>
    <w:p w14:paraId="517CCC2E" w14:textId="77777777" w:rsidR="00D52915" w:rsidRPr="00D52915" w:rsidRDefault="00D52915" w:rsidP="00D529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Date(s) of Birth: ______________________________</w:t>
      </w:r>
    </w:p>
    <w:p w14:paraId="3BB1E6EA" w14:textId="77777777" w:rsidR="00D52915" w:rsidRPr="00D52915" w:rsidRDefault="00D52915" w:rsidP="00D529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Filing Status (as of Dec 31, 2025):</w:t>
      </w:r>
      <w:r w:rsidRPr="00D52915">
        <w:rPr>
          <w:rFonts w:ascii="Times New Roman" w:eastAsia="Times New Roman" w:hAnsi="Times New Roman" w:cs="Times New Roman"/>
          <w:kern w:val="0"/>
          <w14:ligatures w14:val="none"/>
        </w:rPr>
        <w:br/>
      </w:r>
      <w:r w:rsidRPr="00D52915">
        <w:rPr>
          <w:rFonts w:ascii="Segoe UI Symbol" w:eastAsia="Times New Roman" w:hAnsi="Segoe UI Symbol" w:cs="Segoe UI Symbol"/>
          <w:kern w:val="0"/>
          <w14:ligatures w14:val="none"/>
        </w:rPr>
        <w:t>☐</w:t>
      </w:r>
      <w:r w:rsidRPr="00D52915">
        <w:rPr>
          <w:rFonts w:ascii="Times New Roman" w:eastAsia="Times New Roman" w:hAnsi="Times New Roman" w:cs="Times New Roman"/>
          <w:kern w:val="0"/>
          <w14:ligatures w14:val="none"/>
        </w:rPr>
        <w:t xml:space="preserve"> Single </w:t>
      </w:r>
      <w:r w:rsidRPr="00D52915">
        <w:rPr>
          <w:rFonts w:ascii="Segoe UI Symbol" w:eastAsia="Times New Roman" w:hAnsi="Segoe UI Symbol" w:cs="Segoe UI Symbol"/>
          <w:kern w:val="0"/>
          <w14:ligatures w14:val="none"/>
        </w:rPr>
        <w:t>☐</w:t>
      </w:r>
      <w:r w:rsidRPr="00D52915">
        <w:rPr>
          <w:rFonts w:ascii="Times New Roman" w:eastAsia="Times New Roman" w:hAnsi="Times New Roman" w:cs="Times New Roman"/>
          <w:kern w:val="0"/>
          <w14:ligatures w14:val="none"/>
        </w:rPr>
        <w:t xml:space="preserve"> Married Filing Jointly </w:t>
      </w:r>
      <w:r w:rsidRPr="00D52915">
        <w:rPr>
          <w:rFonts w:ascii="Segoe UI Symbol" w:eastAsia="Times New Roman" w:hAnsi="Segoe UI Symbol" w:cs="Segoe UI Symbol"/>
          <w:kern w:val="0"/>
          <w14:ligatures w14:val="none"/>
        </w:rPr>
        <w:t>☐</w:t>
      </w:r>
      <w:r w:rsidRPr="00D52915">
        <w:rPr>
          <w:rFonts w:ascii="Times New Roman" w:eastAsia="Times New Roman" w:hAnsi="Times New Roman" w:cs="Times New Roman"/>
          <w:kern w:val="0"/>
          <w14:ligatures w14:val="none"/>
        </w:rPr>
        <w:t xml:space="preserve"> Married Filing Separately</w:t>
      </w:r>
      <w:r w:rsidRPr="00D52915">
        <w:rPr>
          <w:rFonts w:ascii="Times New Roman" w:eastAsia="Times New Roman" w:hAnsi="Times New Roman" w:cs="Times New Roman"/>
          <w:kern w:val="0"/>
          <w14:ligatures w14:val="none"/>
        </w:rPr>
        <w:br/>
      </w:r>
      <w:r w:rsidRPr="00D52915">
        <w:rPr>
          <w:rFonts w:ascii="Segoe UI Symbol" w:eastAsia="Times New Roman" w:hAnsi="Segoe UI Symbol" w:cs="Segoe UI Symbol"/>
          <w:kern w:val="0"/>
          <w14:ligatures w14:val="none"/>
        </w:rPr>
        <w:t>☐</w:t>
      </w:r>
      <w:r w:rsidRPr="00D52915">
        <w:rPr>
          <w:rFonts w:ascii="Times New Roman" w:eastAsia="Times New Roman" w:hAnsi="Times New Roman" w:cs="Times New Roman"/>
          <w:kern w:val="0"/>
          <w14:ligatures w14:val="none"/>
        </w:rPr>
        <w:t xml:space="preserve"> Head of Household </w:t>
      </w:r>
      <w:r w:rsidRPr="00D52915">
        <w:rPr>
          <w:rFonts w:ascii="Segoe UI Symbol" w:eastAsia="Times New Roman" w:hAnsi="Segoe UI Symbol" w:cs="Segoe UI Symbol"/>
          <w:kern w:val="0"/>
          <w14:ligatures w14:val="none"/>
        </w:rPr>
        <w:t>☐</w:t>
      </w:r>
      <w:r w:rsidRPr="00D52915">
        <w:rPr>
          <w:rFonts w:ascii="Times New Roman" w:eastAsia="Times New Roman" w:hAnsi="Times New Roman" w:cs="Times New Roman"/>
          <w:kern w:val="0"/>
          <w14:ligatures w14:val="none"/>
        </w:rPr>
        <w:t xml:space="preserve"> Qualifying Surviving Spouse</w:t>
      </w:r>
    </w:p>
    <w:p w14:paraId="32F46F8F" w14:textId="77777777" w:rsidR="00D52915" w:rsidRPr="00D52915" w:rsidRDefault="00D52915" w:rsidP="00D529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Address: ______________________________________</w:t>
      </w:r>
    </w:p>
    <w:p w14:paraId="66687E8A" w14:textId="77777777" w:rsidR="00D52915" w:rsidRPr="00D52915" w:rsidRDefault="00D52915" w:rsidP="00D529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 xml:space="preserve">Did you move during 2025? </w:t>
      </w:r>
      <w:r w:rsidRPr="00D52915">
        <w:rPr>
          <w:rFonts w:ascii="Segoe UI Symbol" w:eastAsia="Times New Roman" w:hAnsi="Segoe UI Symbol" w:cs="Segoe UI Symbol"/>
          <w:kern w:val="0"/>
          <w14:ligatures w14:val="none"/>
        </w:rPr>
        <w:t>☐</w:t>
      </w:r>
      <w:r w:rsidRPr="00D52915">
        <w:rPr>
          <w:rFonts w:ascii="Times New Roman" w:eastAsia="Times New Roman" w:hAnsi="Times New Roman" w:cs="Times New Roman"/>
          <w:kern w:val="0"/>
          <w14:ligatures w14:val="none"/>
        </w:rPr>
        <w:t xml:space="preserve"> Yes </w:t>
      </w:r>
      <w:r w:rsidRPr="00D52915">
        <w:rPr>
          <w:rFonts w:ascii="Segoe UI Symbol" w:eastAsia="Times New Roman" w:hAnsi="Segoe UI Symbol" w:cs="Segoe UI Symbol"/>
          <w:kern w:val="0"/>
          <w14:ligatures w14:val="none"/>
        </w:rPr>
        <w:t>☐</w:t>
      </w:r>
      <w:r w:rsidRPr="00D52915">
        <w:rPr>
          <w:rFonts w:ascii="Times New Roman" w:eastAsia="Times New Roman" w:hAnsi="Times New Roman" w:cs="Times New Roman"/>
          <w:kern w:val="0"/>
          <w14:ligatures w14:val="none"/>
        </w:rPr>
        <w:t xml:space="preserve"> No</w:t>
      </w:r>
    </w:p>
    <w:p w14:paraId="51CB59CF" w14:textId="54E063F7" w:rsidR="00D52915" w:rsidRPr="00D52915" w:rsidRDefault="0004179A" w:rsidP="00D52915">
      <w:pPr>
        <w:spacing w:after="0" w:line="240" w:lineRule="auto"/>
        <w:rPr>
          <w:rFonts w:ascii="Times New Roman" w:eastAsia="Times New Roman" w:hAnsi="Times New Roman" w:cs="Times New Roman"/>
          <w:kern w:val="0"/>
          <w14:ligatures w14:val="none"/>
        </w:rPr>
      </w:pPr>
      <w:r w:rsidRPr="0004179A">
        <w:rPr>
          <w:sz w:val="20"/>
          <w:szCs w:val="20"/>
        </w:rPr>
        <w:t xml:space="preserve">This section establishes your legal identity for tax purposes and determines your </w:t>
      </w:r>
      <w:r w:rsidRPr="0004179A">
        <w:rPr>
          <w:rStyle w:val="Strong"/>
          <w:sz w:val="20"/>
          <w:szCs w:val="20"/>
        </w:rPr>
        <w:t>filing status</w:t>
      </w:r>
      <w:r w:rsidRPr="0004179A">
        <w:rPr>
          <w:sz w:val="20"/>
          <w:szCs w:val="20"/>
        </w:rPr>
        <w:t xml:space="preserve">, which directly affects your </w:t>
      </w:r>
      <w:r w:rsidRPr="0004179A">
        <w:rPr>
          <w:rStyle w:val="Strong"/>
          <w:sz w:val="20"/>
          <w:szCs w:val="20"/>
        </w:rPr>
        <w:t>tax brackets, standard deduction, eligibility for credits, and overall tax calculation</w:t>
      </w:r>
      <w:r w:rsidRPr="0004179A">
        <w:rPr>
          <w:sz w:val="20"/>
          <w:szCs w:val="20"/>
        </w:rPr>
        <w:t xml:space="preserve">. The IRS uses this information to match your return to Social Security records and prior-year filings. Your marital status as of </w:t>
      </w:r>
      <w:r w:rsidRPr="0004179A">
        <w:rPr>
          <w:rStyle w:val="Strong"/>
          <w:sz w:val="20"/>
          <w:szCs w:val="20"/>
        </w:rPr>
        <w:t xml:space="preserve">December 31, </w:t>
      </w:r>
      <w:proofErr w:type="gramStart"/>
      <w:r w:rsidRPr="0004179A">
        <w:rPr>
          <w:rStyle w:val="Strong"/>
          <w:sz w:val="20"/>
          <w:szCs w:val="20"/>
        </w:rPr>
        <w:t>2025</w:t>
      </w:r>
      <w:proofErr w:type="gramEnd"/>
      <w:r w:rsidRPr="0004179A">
        <w:rPr>
          <w:sz w:val="20"/>
          <w:szCs w:val="20"/>
        </w:rPr>
        <w:t xml:space="preserve"> controls your filing status for the entire year. Address information determines where IRS correspondence is sent and may also affect state tax obligations.</w:t>
      </w:r>
    </w:p>
    <w:p w14:paraId="014146B3" w14:textId="77777777"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SECTION 2 — DEPENDENTS</w:t>
      </w:r>
    </w:p>
    <w:p w14:paraId="4041F51A"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Purpose:</w:t>
      </w:r>
      <w:r w:rsidRPr="00D52915">
        <w:rPr>
          <w:rFonts w:ascii="Times New Roman" w:eastAsia="Times New Roman" w:hAnsi="Times New Roman" w:cs="Times New Roman"/>
          <w:kern w:val="0"/>
          <w14:ligatures w14:val="none"/>
        </w:rPr>
        <w:t xml:space="preserve"> Determines eligibility for Child Tax Credit, Other Dependent Credit, and Head of Household status.</w:t>
      </w:r>
    </w:p>
    <w:p w14:paraId="3D64C981"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For each dependent:</w:t>
      </w:r>
    </w:p>
    <w:tbl>
      <w:tblPr>
        <w:tblStyle w:val="GridTable1Light"/>
        <w:tblW w:w="0" w:type="auto"/>
        <w:tblLook w:val="04A0" w:firstRow="1" w:lastRow="0" w:firstColumn="1" w:lastColumn="0" w:noHBand="0" w:noVBand="1"/>
      </w:tblPr>
      <w:tblGrid>
        <w:gridCol w:w="816"/>
        <w:gridCol w:w="657"/>
        <w:gridCol w:w="1510"/>
        <w:gridCol w:w="737"/>
        <w:gridCol w:w="1590"/>
        <w:gridCol w:w="1734"/>
        <w:gridCol w:w="1017"/>
      </w:tblGrid>
      <w:tr w:rsidR="00D52915" w:rsidRPr="00D52915" w14:paraId="4E070CB4" w14:textId="77777777" w:rsidTr="00D52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31DBF" w14:textId="77777777" w:rsidR="00D52915" w:rsidRPr="00D52915" w:rsidRDefault="00D52915" w:rsidP="00D52915">
            <w:pPr>
              <w:jc w:val="center"/>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Name</w:t>
            </w:r>
          </w:p>
        </w:tc>
        <w:tc>
          <w:tcPr>
            <w:tcW w:w="0" w:type="auto"/>
            <w:hideMark/>
          </w:tcPr>
          <w:p w14:paraId="4CE917F4" w14:textId="77777777" w:rsidR="00D52915" w:rsidRPr="00D52915" w:rsidRDefault="00D52915" w:rsidP="00D529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SSN</w:t>
            </w:r>
          </w:p>
        </w:tc>
        <w:tc>
          <w:tcPr>
            <w:tcW w:w="0" w:type="auto"/>
            <w:hideMark/>
          </w:tcPr>
          <w:p w14:paraId="2548D73D" w14:textId="77777777" w:rsidR="00D52915" w:rsidRPr="00D52915" w:rsidRDefault="00D52915" w:rsidP="00D529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Relationship</w:t>
            </w:r>
          </w:p>
        </w:tc>
        <w:tc>
          <w:tcPr>
            <w:tcW w:w="0" w:type="auto"/>
            <w:hideMark/>
          </w:tcPr>
          <w:p w14:paraId="767612B4" w14:textId="77777777" w:rsidR="00D52915" w:rsidRPr="00D52915" w:rsidRDefault="00D52915" w:rsidP="00D529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DOB</w:t>
            </w:r>
          </w:p>
        </w:tc>
        <w:tc>
          <w:tcPr>
            <w:tcW w:w="0" w:type="auto"/>
            <w:hideMark/>
          </w:tcPr>
          <w:p w14:paraId="2AB87189" w14:textId="77777777" w:rsidR="00D52915" w:rsidRPr="00D52915" w:rsidRDefault="00D52915" w:rsidP="00D529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Lived w/ You</w:t>
            </w:r>
          </w:p>
        </w:tc>
        <w:tc>
          <w:tcPr>
            <w:tcW w:w="0" w:type="auto"/>
            <w:hideMark/>
          </w:tcPr>
          <w:p w14:paraId="00E86F10" w14:textId="77777777" w:rsidR="00D52915" w:rsidRPr="00D52915" w:rsidRDefault="00D52915" w:rsidP="00D529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Support &gt;50%</w:t>
            </w:r>
          </w:p>
        </w:tc>
        <w:tc>
          <w:tcPr>
            <w:tcW w:w="0" w:type="auto"/>
            <w:hideMark/>
          </w:tcPr>
          <w:p w14:paraId="6FF96791" w14:textId="77777777" w:rsidR="00D52915" w:rsidRPr="00D52915" w:rsidRDefault="00D52915" w:rsidP="00D5291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Student</w:t>
            </w:r>
          </w:p>
        </w:tc>
      </w:tr>
      <w:tr w:rsidR="00D52915" w:rsidRPr="00D52915" w14:paraId="7D7B9221" w14:textId="77777777" w:rsidTr="00D52915">
        <w:tc>
          <w:tcPr>
            <w:cnfStyle w:val="001000000000" w:firstRow="0" w:lastRow="0" w:firstColumn="1" w:lastColumn="0" w:oddVBand="0" w:evenVBand="0" w:oddHBand="0" w:evenHBand="0" w:firstRowFirstColumn="0" w:firstRowLastColumn="0" w:lastRowFirstColumn="0" w:lastRowLastColumn="0"/>
            <w:tcW w:w="0" w:type="auto"/>
          </w:tcPr>
          <w:p w14:paraId="473EA172" w14:textId="77777777" w:rsidR="00D52915" w:rsidRPr="00D52915" w:rsidRDefault="00D52915" w:rsidP="00D52915">
            <w:pPr>
              <w:jc w:val="center"/>
              <w:rPr>
                <w:rFonts w:ascii="Times New Roman" w:eastAsia="Times New Roman" w:hAnsi="Times New Roman" w:cs="Times New Roman"/>
                <w:b w:val="0"/>
                <w:bCs w:val="0"/>
                <w:kern w:val="0"/>
                <w14:ligatures w14:val="none"/>
              </w:rPr>
            </w:pPr>
          </w:p>
        </w:tc>
        <w:tc>
          <w:tcPr>
            <w:tcW w:w="0" w:type="auto"/>
          </w:tcPr>
          <w:p w14:paraId="48C47F6F"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3559AA2E"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4BE26CEB"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487954C7"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71B63539"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7624D13A"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r>
      <w:tr w:rsidR="00D52915" w:rsidRPr="00D52915" w14:paraId="08503F9D" w14:textId="77777777" w:rsidTr="00D52915">
        <w:tc>
          <w:tcPr>
            <w:cnfStyle w:val="001000000000" w:firstRow="0" w:lastRow="0" w:firstColumn="1" w:lastColumn="0" w:oddVBand="0" w:evenVBand="0" w:oddHBand="0" w:evenHBand="0" w:firstRowFirstColumn="0" w:firstRowLastColumn="0" w:lastRowFirstColumn="0" w:lastRowLastColumn="0"/>
            <w:tcW w:w="0" w:type="auto"/>
          </w:tcPr>
          <w:p w14:paraId="0551B07C" w14:textId="77777777" w:rsidR="00D52915" w:rsidRPr="00D52915" w:rsidRDefault="00D52915" w:rsidP="00D52915">
            <w:pPr>
              <w:jc w:val="center"/>
              <w:rPr>
                <w:rFonts w:ascii="Times New Roman" w:eastAsia="Times New Roman" w:hAnsi="Times New Roman" w:cs="Times New Roman"/>
                <w:b w:val="0"/>
                <w:bCs w:val="0"/>
                <w:kern w:val="0"/>
                <w14:ligatures w14:val="none"/>
              </w:rPr>
            </w:pPr>
          </w:p>
        </w:tc>
        <w:tc>
          <w:tcPr>
            <w:tcW w:w="0" w:type="auto"/>
          </w:tcPr>
          <w:p w14:paraId="29EC31EE"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654449BB"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07CD75B6"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7029745F"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016255A1"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347BB15E"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r>
      <w:tr w:rsidR="00D52915" w:rsidRPr="00D52915" w14:paraId="7C11E1ED" w14:textId="77777777" w:rsidTr="00D52915">
        <w:tc>
          <w:tcPr>
            <w:cnfStyle w:val="001000000000" w:firstRow="0" w:lastRow="0" w:firstColumn="1" w:lastColumn="0" w:oddVBand="0" w:evenVBand="0" w:oddHBand="0" w:evenHBand="0" w:firstRowFirstColumn="0" w:firstRowLastColumn="0" w:lastRowFirstColumn="0" w:lastRowLastColumn="0"/>
            <w:tcW w:w="0" w:type="auto"/>
          </w:tcPr>
          <w:p w14:paraId="0B2B5A43" w14:textId="77777777" w:rsidR="00D52915" w:rsidRPr="00D52915" w:rsidRDefault="00D52915" w:rsidP="00D52915">
            <w:pPr>
              <w:jc w:val="center"/>
              <w:rPr>
                <w:rFonts w:ascii="Times New Roman" w:eastAsia="Times New Roman" w:hAnsi="Times New Roman" w:cs="Times New Roman"/>
                <w:b w:val="0"/>
                <w:bCs w:val="0"/>
                <w:kern w:val="0"/>
                <w14:ligatures w14:val="none"/>
              </w:rPr>
            </w:pPr>
          </w:p>
        </w:tc>
        <w:tc>
          <w:tcPr>
            <w:tcW w:w="0" w:type="auto"/>
          </w:tcPr>
          <w:p w14:paraId="19327E81"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412BDD40"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4AD3B78B"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37351A6D"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0B4393A7"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3A842F28"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r>
      <w:tr w:rsidR="00D52915" w:rsidRPr="00D52915" w14:paraId="49BDCD15" w14:textId="77777777" w:rsidTr="00D52915">
        <w:tc>
          <w:tcPr>
            <w:cnfStyle w:val="001000000000" w:firstRow="0" w:lastRow="0" w:firstColumn="1" w:lastColumn="0" w:oddVBand="0" w:evenVBand="0" w:oddHBand="0" w:evenHBand="0" w:firstRowFirstColumn="0" w:firstRowLastColumn="0" w:lastRowFirstColumn="0" w:lastRowLastColumn="0"/>
            <w:tcW w:w="0" w:type="auto"/>
          </w:tcPr>
          <w:p w14:paraId="6B35D8A4" w14:textId="77777777" w:rsidR="00D52915" w:rsidRPr="00D52915" w:rsidRDefault="00D52915" w:rsidP="00D52915">
            <w:pPr>
              <w:jc w:val="center"/>
              <w:rPr>
                <w:rFonts w:ascii="Times New Roman" w:eastAsia="Times New Roman" w:hAnsi="Times New Roman" w:cs="Times New Roman"/>
                <w:b w:val="0"/>
                <w:bCs w:val="0"/>
                <w:kern w:val="0"/>
                <w14:ligatures w14:val="none"/>
              </w:rPr>
            </w:pPr>
          </w:p>
        </w:tc>
        <w:tc>
          <w:tcPr>
            <w:tcW w:w="0" w:type="auto"/>
          </w:tcPr>
          <w:p w14:paraId="0BC5062A"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208A3308"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70D46F1A"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20B7374D"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2FD14C61"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0B6C030D"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r>
      <w:tr w:rsidR="00D52915" w:rsidRPr="00D52915" w14:paraId="766FBA1D" w14:textId="77777777" w:rsidTr="00D52915">
        <w:tc>
          <w:tcPr>
            <w:cnfStyle w:val="001000000000" w:firstRow="0" w:lastRow="0" w:firstColumn="1" w:lastColumn="0" w:oddVBand="0" w:evenVBand="0" w:oddHBand="0" w:evenHBand="0" w:firstRowFirstColumn="0" w:firstRowLastColumn="0" w:lastRowFirstColumn="0" w:lastRowLastColumn="0"/>
            <w:tcW w:w="0" w:type="auto"/>
          </w:tcPr>
          <w:p w14:paraId="06ADF683" w14:textId="77777777" w:rsidR="00D52915" w:rsidRPr="00D52915" w:rsidRDefault="00D52915" w:rsidP="00D52915">
            <w:pPr>
              <w:jc w:val="center"/>
              <w:rPr>
                <w:rFonts w:ascii="Times New Roman" w:eastAsia="Times New Roman" w:hAnsi="Times New Roman" w:cs="Times New Roman"/>
                <w:b w:val="0"/>
                <w:bCs w:val="0"/>
                <w:kern w:val="0"/>
                <w14:ligatures w14:val="none"/>
              </w:rPr>
            </w:pPr>
          </w:p>
        </w:tc>
        <w:tc>
          <w:tcPr>
            <w:tcW w:w="0" w:type="auto"/>
          </w:tcPr>
          <w:p w14:paraId="5AD6BD41"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7B275342"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2EB1F35A"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7BD19E94"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33BDA0A2"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0CC82CEA"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r>
      <w:tr w:rsidR="00D52915" w:rsidRPr="00D52915" w14:paraId="07E2CAF7" w14:textId="77777777" w:rsidTr="00D52915">
        <w:tc>
          <w:tcPr>
            <w:cnfStyle w:val="001000000000" w:firstRow="0" w:lastRow="0" w:firstColumn="1" w:lastColumn="0" w:oddVBand="0" w:evenVBand="0" w:oddHBand="0" w:evenHBand="0" w:firstRowFirstColumn="0" w:firstRowLastColumn="0" w:lastRowFirstColumn="0" w:lastRowLastColumn="0"/>
            <w:tcW w:w="0" w:type="auto"/>
          </w:tcPr>
          <w:p w14:paraId="591C07C5" w14:textId="77777777" w:rsidR="00D52915" w:rsidRPr="00D52915" w:rsidRDefault="00D52915" w:rsidP="00D52915">
            <w:pPr>
              <w:jc w:val="center"/>
              <w:rPr>
                <w:rFonts w:ascii="Times New Roman" w:eastAsia="Times New Roman" w:hAnsi="Times New Roman" w:cs="Times New Roman"/>
                <w:b w:val="0"/>
                <w:bCs w:val="0"/>
                <w:kern w:val="0"/>
                <w14:ligatures w14:val="none"/>
              </w:rPr>
            </w:pPr>
          </w:p>
        </w:tc>
        <w:tc>
          <w:tcPr>
            <w:tcW w:w="0" w:type="auto"/>
          </w:tcPr>
          <w:p w14:paraId="236303F5"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289B9D5B"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74F06D3E"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469BE4C6"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65A46681"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6EFD5640" w14:textId="77777777" w:rsidR="00D52915" w:rsidRPr="00D52915" w:rsidRDefault="00D52915"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r>
      <w:tr w:rsidR="0004179A" w:rsidRPr="00D52915" w14:paraId="65463F62" w14:textId="77777777" w:rsidTr="00D52915">
        <w:tc>
          <w:tcPr>
            <w:cnfStyle w:val="001000000000" w:firstRow="0" w:lastRow="0" w:firstColumn="1" w:lastColumn="0" w:oddVBand="0" w:evenVBand="0" w:oddHBand="0" w:evenHBand="0" w:firstRowFirstColumn="0" w:firstRowLastColumn="0" w:lastRowFirstColumn="0" w:lastRowLastColumn="0"/>
            <w:tcW w:w="0" w:type="auto"/>
          </w:tcPr>
          <w:p w14:paraId="25E3B740" w14:textId="77777777" w:rsidR="0004179A" w:rsidRPr="00D52915" w:rsidRDefault="0004179A" w:rsidP="00D52915">
            <w:pPr>
              <w:jc w:val="center"/>
              <w:rPr>
                <w:rFonts w:ascii="Times New Roman" w:eastAsia="Times New Roman" w:hAnsi="Times New Roman" w:cs="Times New Roman"/>
                <w:b w:val="0"/>
                <w:bCs w:val="0"/>
                <w:kern w:val="0"/>
                <w14:ligatures w14:val="none"/>
              </w:rPr>
            </w:pPr>
          </w:p>
        </w:tc>
        <w:tc>
          <w:tcPr>
            <w:tcW w:w="0" w:type="auto"/>
          </w:tcPr>
          <w:p w14:paraId="2BF9E8A5" w14:textId="77777777" w:rsidR="0004179A" w:rsidRPr="00D52915" w:rsidRDefault="0004179A"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2D5EC5FA" w14:textId="77777777" w:rsidR="0004179A" w:rsidRPr="00D52915" w:rsidRDefault="0004179A"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27DDDEF7" w14:textId="77777777" w:rsidR="0004179A" w:rsidRPr="00D52915" w:rsidRDefault="0004179A"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05BF66BA" w14:textId="77777777" w:rsidR="0004179A" w:rsidRPr="00D52915" w:rsidRDefault="0004179A"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1AD49B81" w14:textId="77777777" w:rsidR="0004179A" w:rsidRPr="00D52915" w:rsidRDefault="0004179A"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c>
          <w:tcPr>
            <w:tcW w:w="0" w:type="auto"/>
          </w:tcPr>
          <w:p w14:paraId="695E6499" w14:textId="77777777" w:rsidR="0004179A" w:rsidRPr="00D52915" w:rsidRDefault="0004179A" w:rsidP="00D5291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p>
        </w:tc>
      </w:tr>
    </w:tbl>
    <w:p w14:paraId="7F7F3153" w14:textId="78D1663E" w:rsidR="00D52915" w:rsidRPr="0004179A" w:rsidRDefault="0004179A" w:rsidP="00D52915">
      <w:pPr>
        <w:spacing w:after="0" w:line="240" w:lineRule="auto"/>
        <w:rPr>
          <w:rFonts w:ascii="Times New Roman" w:eastAsia="Times New Roman" w:hAnsi="Times New Roman" w:cs="Times New Roman"/>
          <w:kern w:val="0"/>
          <w:sz w:val="20"/>
          <w:szCs w:val="20"/>
          <w14:ligatures w14:val="none"/>
        </w:rPr>
      </w:pPr>
      <w:r w:rsidRPr="0004179A">
        <w:rPr>
          <w:sz w:val="20"/>
          <w:szCs w:val="20"/>
        </w:rPr>
        <w:t xml:space="preserve">This section determines whether you can claim individuals who rely on you financially. Claiming dependents can significantly reduce your tax liability through </w:t>
      </w:r>
      <w:r w:rsidRPr="0004179A">
        <w:rPr>
          <w:rStyle w:val="Strong"/>
          <w:sz w:val="20"/>
          <w:szCs w:val="20"/>
        </w:rPr>
        <w:t>credits</w:t>
      </w:r>
      <w:r w:rsidRPr="0004179A">
        <w:rPr>
          <w:sz w:val="20"/>
          <w:szCs w:val="20"/>
        </w:rPr>
        <w:t xml:space="preserve">, </w:t>
      </w:r>
      <w:r w:rsidRPr="0004179A">
        <w:rPr>
          <w:rStyle w:val="Strong"/>
          <w:sz w:val="20"/>
          <w:szCs w:val="20"/>
        </w:rPr>
        <w:t>higher standard deductions</w:t>
      </w:r>
      <w:r w:rsidRPr="0004179A">
        <w:rPr>
          <w:sz w:val="20"/>
          <w:szCs w:val="20"/>
        </w:rPr>
        <w:t xml:space="preserve">, and </w:t>
      </w:r>
      <w:r w:rsidRPr="0004179A">
        <w:rPr>
          <w:rStyle w:val="Strong"/>
          <w:sz w:val="20"/>
          <w:szCs w:val="20"/>
        </w:rPr>
        <w:t>favorable filing status</w:t>
      </w:r>
      <w:r w:rsidRPr="0004179A">
        <w:rPr>
          <w:sz w:val="20"/>
          <w:szCs w:val="20"/>
        </w:rPr>
        <w:t xml:space="preserve"> (such as Head of Household). The IRS applies strict tests for relationship, residency, support, age, and income. Incorrect dependent claims are a common audit trigger, so accuracy is critical.</w:t>
      </w:r>
    </w:p>
    <w:p w14:paraId="4D94387C" w14:textId="77777777"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lastRenderedPageBreak/>
        <w:t>SECTION 3 — INCOME</w:t>
      </w:r>
    </w:p>
    <w:p w14:paraId="4A47C623"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Purpose:</w:t>
      </w:r>
      <w:r w:rsidRPr="00D52915">
        <w:rPr>
          <w:rFonts w:ascii="Times New Roman" w:eastAsia="Times New Roman" w:hAnsi="Times New Roman" w:cs="Times New Roman"/>
          <w:kern w:val="0"/>
          <w14:ligatures w14:val="none"/>
        </w:rPr>
        <w:t xml:space="preserve"> IRS requires reporting of all worldwide income.</w:t>
      </w:r>
    </w:p>
    <w:p w14:paraId="3E89056E"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Employment &amp; Business Income</w:t>
      </w:r>
    </w:p>
    <w:p w14:paraId="29A22933" w14:textId="77777777" w:rsidR="00D52915" w:rsidRPr="00D52915" w:rsidRDefault="00D52915" w:rsidP="00D529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W-2 wages (employee income)</w:t>
      </w:r>
    </w:p>
    <w:p w14:paraId="4D135401" w14:textId="77777777" w:rsidR="00D52915" w:rsidRPr="00D52915" w:rsidRDefault="00D52915" w:rsidP="00D529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1099-NEC / consulting income (self-employment)</w:t>
      </w:r>
    </w:p>
    <w:p w14:paraId="798A9954" w14:textId="77777777" w:rsidR="00D52915" w:rsidRPr="00D52915" w:rsidRDefault="00D52915" w:rsidP="00D529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Business income or loss (Schedule C)</w:t>
      </w:r>
    </w:p>
    <w:p w14:paraId="26E319AA" w14:textId="0F87FA59" w:rsidR="0004179A" w:rsidRPr="0004179A" w:rsidRDefault="00D52915" w:rsidP="000417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Tips, bonuses, commissions</w:t>
      </w:r>
    </w:p>
    <w:p w14:paraId="278D62DF"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Investment &amp; Other Income</w:t>
      </w:r>
    </w:p>
    <w:p w14:paraId="7616C9CB" w14:textId="77777777" w:rsidR="00D52915" w:rsidRPr="00D52915" w:rsidRDefault="00D52915" w:rsidP="00D529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Interest (1099-INT)</w:t>
      </w:r>
    </w:p>
    <w:p w14:paraId="63486735" w14:textId="77777777" w:rsidR="00D52915" w:rsidRPr="00D52915" w:rsidRDefault="00D52915" w:rsidP="00D529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Dividends (1099-DIV)</w:t>
      </w:r>
    </w:p>
    <w:p w14:paraId="6BAC3CD6" w14:textId="77777777" w:rsidR="00D52915" w:rsidRPr="00D52915" w:rsidRDefault="00D52915" w:rsidP="00D529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Capital gains/losses (stocks, crypto, property)</w:t>
      </w:r>
    </w:p>
    <w:p w14:paraId="49A6BCC0" w14:textId="77777777" w:rsidR="00D52915" w:rsidRPr="00D52915" w:rsidRDefault="00D52915" w:rsidP="00D529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Rental income</w:t>
      </w:r>
    </w:p>
    <w:p w14:paraId="1CA3F7E1" w14:textId="77777777" w:rsidR="00D52915" w:rsidRPr="00D52915" w:rsidRDefault="00D52915" w:rsidP="00D529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Royalties</w:t>
      </w:r>
    </w:p>
    <w:p w14:paraId="59693C51" w14:textId="77777777" w:rsidR="00D52915" w:rsidRPr="00D52915" w:rsidRDefault="00D52915" w:rsidP="00D529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Unemployment compensation</w:t>
      </w:r>
    </w:p>
    <w:p w14:paraId="353BD781" w14:textId="77777777" w:rsidR="00D52915" w:rsidRPr="00D52915" w:rsidRDefault="00D52915" w:rsidP="00D529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Social Security benefits</w:t>
      </w:r>
    </w:p>
    <w:p w14:paraId="53C72ECD" w14:textId="77777777" w:rsidR="00D52915" w:rsidRPr="00D52915" w:rsidRDefault="00D52915" w:rsidP="00D529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Retirement distributions (IRA, 401(k), pension)</w:t>
      </w:r>
    </w:p>
    <w:p w14:paraId="2406184B" w14:textId="77777777" w:rsidR="0004179A" w:rsidRPr="0004179A" w:rsidRDefault="0004179A" w:rsidP="0004179A">
      <w:pPr>
        <w:pStyle w:val="NormalWeb"/>
        <w:rPr>
          <w:sz w:val="20"/>
          <w:szCs w:val="20"/>
        </w:rPr>
      </w:pPr>
      <w:r w:rsidRPr="0004179A">
        <w:rPr>
          <w:sz w:val="20"/>
          <w:szCs w:val="20"/>
        </w:rPr>
        <w:t xml:space="preserve">U.S. taxpayers must report </w:t>
      </w:r>
      <w:r w:rsidRPr="0004179A">
        <w:rPr>
          <w:rStyle w:val="Strong"/>
          <w:rFonts w:eastAsiaTheme="majorEastAsia"/>
          <w:sz w:val="20"/>
          <w:szCs w:val="20"/>
        </w:rPr>
        <w:t>all income from all sources worldwide</w:t>
      </w:r>
      <w:r w:rsidRPr="0004179A">
        <w:rPr>
          <w:sz w:val="20"/>
          <w:szCs w:val="20"/>
        </w:rPr>
        <w:t>, regardless of where it was earned or whether a tax form was issued. This section captures earned income (wages and self-employment), passive income (investments and rentals), and retirement or government benefits. Different income types are taxed differently, so full disclosure ensures correct tax treatment, proper calculation of self-employment tax, and accurate eligibility for deductions and credits.</w:t>
      </w:r>
    </w:p>
    <w:p w14:paraId="1B5B5E7E" w14:textId="0520F19A" w:rsidR="00D52915" w:rsidRPr="00D52915" w:rsidRDefault="00D52915" w:rsidP="00D52915">
      <w:pPr>
        <w:spacing w:after="0" w:line="240" w:lineRule="auto"/>
        <w:rPr>
          <w:rFonts w:ascii="Times New Roman" w:eastAsia="Times New Roman" w:hAnsi="Times New Roman" w:cs="Times New Roman"/>
          <w:kern w:val="0"/>
          <w14:ligatures w14:val="none"/>
        </w:rPr>
      </w:pPr>
    </w:p>
    <w:p w14:paraId="1B44D075" w14:textId="429FF56B"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 xml:space="preserve">SECTION 4 — ADJUSTMENTS TO INCOME </w:t>
      </w:r>
    </w:p>
    <w:p w14:paraId="39FDD353"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Purpose:</w:t>
      </w:r>
      <w:r w:rsidRPr="00D52915">
        <w:rPr>
          <w:rFonts w:ascii="Times New Roman" w:eastAsia="Times New Roman" w:hAnsi="Times New Roman" w:cs="Times New Roman"/>
          <w:kern w:val="0"/>
          <w14:ligatures w14:val="none"/>
        </w:rPr>
        <w:t xml:space="preserve"> Reduces Adjusted Gross Income (AGI), even if you don’t itemize.</w:t>
      </w:r>
    </w:p>
    <w:p w14:paraId="59A0E12E" w14:textId="77777777" w:rsidR="00D52915" w:rsidRPr="00D52915" w:rsidRDefault="00D52915" w:rsidP="00D529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Traditional IRA contributions</w:t>
      </w:r>
    </w:p>
    <w:p w14:paraId="0BEB8D3D" w14:textId="77777777" w:rsidR="00D52915" w:rsidRPr="00D52915" w:rsidRDefault="00D52915" w:rsidP="00D529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Health Savings Account (HSA) contributions</w:t>
      </w:r>
    </w:p>
    <w:p w14:paraId="6696035F" w14:textId="77777777" w:rsidR="00D52915" w:rsidRPr="00D52915" w:rsidRDefault="00D52915" w:rsidP="00D529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Student loan interest paid</w:t>
      </w:r>
    </w:p>
    <w:p w14:paraId="240C45C8" w14:textId="77777777" w:rsidR="00D52915" w:rsidRPr="00D52915" w:rsidRDefault="00D52915" w:rsidP="00D529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Self-employed health insurance premiums</w:t>
      </w:r>
    </w:p>
    <w:p w14:paraId="05DDBD36" w14:textId="77777777" w:rsidR="00D52915" w:rsidRPr="00D52915" w:rsidRDefault="00D52915" w:rsidP="00D529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Self-employed retirement (SEP, SIMPLE, Solo 401(k))</w:t>
      </w:r>
    </w:p>
    <w:p w14:paraId="26B072E5" w14:textId="77777777" w:rsidR="00D52915" w:rsidRPr="00D52915" w:rsidRDefault="00D52915" w:rsidP="00D529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Alimony paid (pre-2019 agreements only)</w:t>
      </w:r>
    </w:p>
    <w:p w14:paraId="5A349075" w14:textId="516AECC4" w:rsidR="00D52915" w:rsidRPr="0004179A" w:rsidRDefault="0004179A" w:rsidP="00D52915">
      <w:pPr>
        <w:spacing w:after="0" w:line="240" w:lineRule="auto"/>
        <w:rPr>
          <w:rFonts w:ascii="Times New Roman" w:eastAsia="Times New Roman" w:hAnsi="Times New Roman" w:cs="Times New Roman"/>
          <w:kern w:val="0"/>
          <w:sz w:val="20"/>
          <w:szCs w:val="20"/>
          <w14:ligatures w14:val="none"/>
        </w:rPr>
      </w:pPr>
      <w:r w:rsidRPr="0004179A">
        <w:rPr>
          <w:sz w:val="20"/>
          <w:szCs w:val="20"/>
        </w:rPr>
        <w:t xml:space="preserve">Adjustments to income reduce your </w:t>
      </w:r>
      <w:r w:rsidRPr="0004179A">
        <w:rPr>
          <w:rStyle w:val="Strong"/>
          <w:sz w:val="20"/>
          <w:szCs w:val="20"/>
        </w:rPr>
        <w:t>Adjusted Gross Income (AGI)</w:t>
      </w:r>
      <w:r w:rsidRPr="0004179A">
        <w:rPr>
          <w:sz w:val="20"/>
          <w:szCs w:val="20"/>
        </w:rPr>
        <w:t xml:space="preserve"> before standard or itemized deductions are applied. These deductions are especially valuable because they are available even if you do not itemize. Lower AGI can increase eligibility for tax credits, reduce phaseouts, and lower taxes across the return. Many of these adjustments benefit self-employed individuals and taxpayers saving for retirement or healthcare.</w:t>
      </w:r>
    </w:p>
    <w:p w14:paraId="2E7BE699" w14:textId="77777777" w:rsidR="00D52915" w:rsidRDefault="00D52915" w:rsidP="00D52915">
      <w:pPr>
        <w:spacing w:after="0" w:line="240" w:lineRule="auto"/>
        <w:rPr>
          <w:rFonts w:ascii="Times New Roman" w:eastAsia="Times New Roman" w:hAnsi="Times New Roman" w:cs="Times New Roman"/>
          <w:kern w:val="0"/>
          <w14:ligatures w14:val="none"/>
        </w:rPr>
      </w:pPr>
    </w:p>
    <w:p w14:paraId="2D96CD78" w14:textId="77777777"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lastRenderedPageBreak/>
        <w:t>SECTION 5 — DEDUCTIONS</w:t>
      </w:r>
    </w:p>
    <w:p w14:paraId="0D553CD4"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STANDARD DEDUCTION (2025)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936"/>
      </w:tblGrid>
      <w:tr w:rsidR="00D52915" w:rsidRPr="00D52915" w14:paraId="108DDC1F" w14:textId="77777777" w:rsidTr="0004179A">
        <w:trPr>
          <w:tblHeader/>
          <w:tblCellSpacing w:w="15" w:type="dxa"/>
        </w:trPr>
        <w:tc>
          <w:tcPr>
            <w:tcW w:w="0" w:type="auto"/>
            <w:vAlign w:val="center"/>
            <w:hideMark/>
          </w:tcPr>
          <w:p w14:paraId="1A0B4864" w14:textId="77777777" w:rsidR="00D52915" w:rsidRPr="00D52915" w:rsidRDefault="00D52915" w:rsidP="00D52915">
            <w:pPr>
              <w:spacing w:after="0" w:line="240" w:lineRule="auto"/>
              <w:jc w:val="center"/>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Filing Status</w:t>
            </w:r>
          </w:p>
        </w:tc>
        <w:tc>
          <w:tcPr>
            <w:tcW w:w="0" w:type="auto"/>
            <w:vAlign w:val="center"/>
            <w:hideMark/>
          </w:tcPr>
          <w:p w14:paraId="3DE4E0B9" w14:textId="77777777" w:rsidR="00D52915" w:rsidRPr="00D52915" w:rsidRDefault="00D52915" w:rsidP="00D52915">
            <w:pPr>
              <w:spacing w:after="0" w:line="240" w:lineRule="auto"/>
              <w:jc w:val="center"/>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Amount</w:t>
            </w:r>
          </w:p>
        </w:tc>
      </w:tr>
      <w:tr w:rsidR="00D52915" w:rsidRPr="00D52915" w14:paraId="00807CCB" w14:textId="77777777" w:rsidTr="0004179A">
        <w:trPr>
          <w:tblCellSpacing w:w="15" w:type="dxa"/>
        </w:trPr>
        <w:tc>
          <w:tcPr>
            <w:tcW w:w="0" w:type="auto"/>
            <w:vAlign w:val="center"/>
            <w:hideMark/>
          </w:tcPr>
          <w:p w14:paraId="2D424C9B"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Single / MFS</w:t>
            </w:r>
          </w:p>
        </w:tc>
        <w:tc>
          <w:tcPr>
            <w:tcW w:w="0" w:type="auto"/>
            <w:vAlign w:val="center"/>
            <w:hideMark/>
          </w:tcPr>
          <w:p w14:paraId="6381AAC0"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$15,000</w:t>
            </w:r>
          </w:p>
        </w:tc>
      </w:tr>
      <w:tr w:rsidR="00D52915" w:rsidRPr="00D52915" w14:paraId="5597E09E" w14:textId="77777777" w:rsidTr="0004179A">
        <w:trPr>
          <w:tblCellSpacing w:w="15" w:type="dxa"/>
        </w:trPr>
        <w:tc>
          <w:tcPr>
            <w:tcW w:w="0" w:type="auto"/>
            <w:vAlign w:val="center"/>
            <w:hideMark/>
          </w:tcPr>
          <w:p w14:paraId="5C402095"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Married Filing Jointly</w:t>
            </w:r>
          </w:p>
        </w:tc>
        <w:tc>
          <w:tcPr>
            <w:tcW w:w="0" w:type="auto"/>
            <w:vAlign w:val="center"/>
            <w:hideMark/>
          </w:tcPr>
          <w:p w14:paraId="232ECDBF"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$30,000</w:t>
            </w:r>
          </w:p>
        </w:tc>
      </w:tr>
      <w:tr w:rsidR="00D52915" w:rsidRPr="00D52915" w14:paraId="0E22A716" w14:textId="77777777" w:rsidTr="0004179A">
        <w:trPr>
          <w:tblCellSpacing w:w="15" w:type="dxa"/>
        </w:trPr>
        <w:tc>
          <w:tcPr>
            <w:tcW w:w="0" w:type="auto"/>
            <w:vAlign w:val="center"/>
            <w:hideMark/>
          </w:tcPr>
          <w:p w14:paraId="3E90EB22"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Head of Household</w:t>
            </w:r>
          </w:p>
        </w:tc>
        <w:tc>
          <w:tcPr>
            <w:tcW w:w="0" w:type="auto"/>
            <w:vAlign w:val="center"/>
            <w:hideMark/>
          </w:tcPr>
          <w:p w14:paraId="58995A1B"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$22,500</w:t>
            </w:r>
          </w:p>
        </w:tc>
      </w:tr>
    </w:tbl>
    <w:p w14:paraId="187661B0" w14:textId="08C7B150" w:rsidR="00D52915" w:rsidRPr="00D52915" w:rsidRDefault="00D52915" w:rsidP="0004179A">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Explanation:</w:t>
      </w:r>
      <w:r w:rsidRPr="00D52915">
        <w:rPr>
          <w:rFonts w:ascii="Times New Roman" w:eastAsia="Times New Roman" w:hAnsi="Times New Roman" w:cs="Times New Roman"/>
          <w:kern w:val="0"/>
          <w14:ligatures w14:val="none"/>
        </w:rPr>
        <w:br/>
        <w:t>If your itemized deductions are less than this amount, the standard deduction is usually better.</w:t>
      </w:r>
    </w:p>
    <w:p w14:paraId="108E6B9E"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ITEMIZED DEDUCTIONS (If Higher Than Standard)</w:t>
      </w:r>
    </w:p>
    <w:p w14:paraId="42C3353C" w14:textId="77777777" w:rsidR="00D52915" w:rsidRPr="00D52915" w:rsidRDefault="00D52915" w:rsidP="00D5291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Medical Expenses</w:t>
      </w:r>
    </w:p>
    <w:p w14:paraId="55DE1869" w14:textId="77777777" w:rsidR="00D52915" w:rsidRPr="00D52915" w:rsidRDefault="00D52915" w:rsidP="00D5291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 xml:space="preserve">Deductible only if expenses exceed </w:t>
      </w:r>
      <w:r w:rsidRPr="00D52915">
        <w:rPr>
          <w:rFonts w:ascii="Times New Roman" w:eastAsia="Times New Roman" w:hAnsi="Times New Roman" w:cs="Times New Roman"/>
          <w:b/>
          <w:bCs/>
          <w:kern w:val="0"/>
          <w14:ligatures w14:val="none"/>
        </w:rPr>
        <w:t>7.5% of AGI</w:t>
      </w:r>
    </w:p>
    <w:p w14:paraId="445B5746" w14:textId="77777777" w:rsidR="00D52915" w:rsidRPr="00D52915" w:rsidRDefault="00D52915" w:rsidP="00D5291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State &amp; Local Taxes (SALT)</w:t>
      </w:r>
    </w:p>
    <w:p w14:paraId="7F2FFE2E" w14:textId="77777777" w:rsidR="00D52915" w:rsidRPr="00D52915" w:rsidRDefault="00D52915" w:rsidP="00D5291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Maximum deduction: $10,000 total</w:t>
      </w:r>
      <w:r w:rsidRPr="00D52915">
        <w:rPr>
          <w:rFonts w:ascii="Times New Roman" w:eastAsia="Times New Roman" w:hAnsi="Times New Roman" w:cs="Times New Roman"/>
          <w:kern w:val="0"/>
          <w14:ligatures w14:val="none"/>
        </w:rPr>
        <w:br/>
        <w:t>(State income or sales tax + property tax combined)</w:t>
      </w:r>
    </w:p>
    <w:p w14:paraId="6F371E2C" w14:textId="77777777" w:rsidR="00D52915" w:rsidRPr="00D52915" w:rsidRDefault="00D52915" w:rsidP="00D5291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Mortgage Interest</w:t>
      </w:r>
    </w:p>
    <w:p w14:paraId="308D7ABE" w14:textId="77777777" w:rsidR="00D52915" w:rsidRPr="00D52915" w:rsidRDefault="00D52915" w:rsidP="00D5291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Interest on qualified home loans</w:t>
      </w:r>
    </w:p>
    <w:p w14:paraId="3EAA8F22" w14:textId="77777777" w:rsidR="00D52915" w:rsidRPr="00D52915" w:rsidRDefault="00D52915" w:rsidP="00D5291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Home equity interest only if used to improve the home</w:t>
      </w:r>
    </w:p>
    <w:p w14:paraId="3041E976" w14:textId="77777777" w:rsidR="00D52915" w:rsidRPr="00D52915" w:rsidRDefault="00D52915" w:rsidP="00D5291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Charitable Contributions</w:t>
      </w:r>
    </w:p>
    <w:p w14:paraId="6BA63319" w14:textId="77777777" w:rsidR="00D52915" w:rsidRPr="00D52915" w:rsidRDefault="00D52915" w:rsidP="00D5291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Cash donations</w:t>
      </w:r>
    </w:p>
    <w:p w14:paraId="6203411D" w14:textId="77777777" w:rsidR="00D52915" w:rsidRPr="00D52915" w:rsidRDefault="00D52915" w:rsidP="00D5291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Non-cash donations (fair market value)</w:t>
      </w:r>
    </w:p>
    <w:p w14:paraId="31E5D91E" w14:textId="77777777" w:rsidR="00D52915" w:rsidRPr="00D52915" w:rsidRDefault="00D52915" w:rsidP="00D5291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Charity mileage</w:t>
      </w:r>
    </w:p>
    <w:p w14:paraId="59C716BC" w14:textId="77777777" w:rsidR="00D52915" w:rsidRPr="00D52915" w:rsidRDefault="00D52915" w:rsidP="00D5291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Casualty &amp; Theft Losses</w:t>
      </w:r>
    </w:p>
    <w:p w14:paraId="45C00509" w14:textId="77777777" w:rsidR="00D52915" w:rsidRPr="00D52915" w:rsidRDefault="00D52915" w:rsidP="00D5291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 xml:space="preserve">Only for </w:t>
      </w:r>
      <w:r w:rsidRPr="00D52915">
        <w:rPr>
          <w:rFonts w:ascii="Times New Roman" w:eastAsia="Times New Roman" w:hAnsi="Times New Roman" w:cs="Times New Roman"/>
          <w:b/>
          <w:bCs/>
          <w:kern w:val="0"/>
          <w14:ligatures w14:val="none"/>
        </w:rPr>
        <w:t>federally declared disasters</w:t>
      </w:r>
    </w:p>
    <w:p w14:paraId="2009326E" w14:textId="77777777" w:rsidR="0004179A" w:rsidRPr="0004179A" w:rsidRDefault="0004179A" w:rsidP="0004179A">
      <w:pPr>
        <w:pStyle w:val="NormalWeb"/>
        <w:rPr>
          <w:sz w:val="20"/>
          <w:szCs w:val="20"/>
        </w:rPr>
      </w:pPr>
      <w:r w:rsidRPr="0004179A">
        <w:rPr>
          <w:sz w:val="20"/>
          <w:szCs w:val="20"/>
        </w:rPr>
        <w:t xml:space="preserve">This section determines whether you will claim the </w:t>
      </w:r>
      <w:r w:rsidRPr="0004179A">
        <w:rPr>
          <w:rStyle w:val="Strong"/>
          <w:rFonts w:eastAsiaTheme="majorEastAsia"/>
          <w:sz w:val="20"/>
          <w:szCs w:val="20"/>
        </w:rPr>
        <w:t>standard deduction</w:t>
      </w:r>
      <w:r w:rsidRPr="0004179A">
        <w:rPr>
          <w:sz w:val="20"/>
          <w:szCs w:val="20"/>
        </w:rPr>
        <w:t xml:space="preserve"> or </w:t>
      </w:r>
      <w:r w:rsidRPr="0004179A">
        <w:rPr>
          <w:rStyle w:val="Strong"/>
          <w:rFonts w:eastAsiaTheme="majorEastAsia"/>
          <w:sz w:val="20"/>
          <w:szCs w:val="20"/>
        </w:rPr>
        <w:t>itemized deductions</w:t>
      </w:r>
      <w:r w:rsidRPr="0004179A">
        <w:rPr>
          <w:sz w:val="20"/>
          <w:szCs w:val="20"/>
        </w:rPr>
        <w:t xml:space="preserve">, whichever provides the greater tax benefit. Deductions reduce the portion of your income that is subject to tax. Itemized deductions include medical expenses, taxes paid, mortgage interest, charitable contributions, and certain disaster losses. Each category has specific limits and </w:t>
      </w:r>
      <w:r w:rsidRPr="0004179A">
        <w:rPr>
          <w:b/>
          <w:bCs/>
          <w:sz w:val="20"/>
          <w:szCs w:val="20"/>
          <w:u w:val="single"/>
        </w:rPr>
        <w:t>documentation requirements set by the IRS</w:t>
      </w:r>
      <w:r w:rsidRPr="0004179A">
        <w:rPr>
          <w:sz w:val="20"/>
          <w:szCs w:val="20"/>
        </w:rPr>
        <w:t>.</w:t>
      </w:r>
    </w:p>
    <w:p w14:paraId="4D0F9A0B" w14:textId="4CE7D47C"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 xml:space="preserve">SECTION 6 — TAX CREDITS </w:t>
      </w:r>
    </w:p>
    <w:p w14:paraId="6A956ACA"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lastRenderedPageBreak/>
        <w:t>Child Tax Credit (CTC)</w:t>
      </w:r>
    </w:p>
    <w:p w14:paraId="012EBC93" w14:textId="77777777" w:rsidR="00D52915" w:rsidRPr="00D52915" w:rsidRDefault="00D52915" w:rsidP="00D5291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Up to $2,000 per qualifying child under age 17</w:t>
      </w:r>
    </w:p>
    <w:p w14:paraId="79050A2C" w14:textId="77777777" w:rsidR="00D52915" w:rsidRPr="00D52915" w:rsidRDefault="00D52915" w:rsidP="00D5291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 xml:space="preserve">Refundable portion up to approximately </w:t>
      </w:r>
      <w:r w:rsidRPr="00D52915">
        <w:rPr>
          <w:rFonts w:ascii="Times New Roman" w:eastAsia="Times New Roman" w:hAnsi="Times New Roman" w:cs="Times New Roman"/>
          <w:b/>
          <w:bCs/>
          <w:kern w:val="0"/>
          <w14:ligatures w14:val="none"/>
        </w:rPr>
        <w:t>$1,700</w:t>
      </w:r>
    </w:p>
    <w:p w14:paraId="516431B8" w14:textId="77777777" w:rsidR="00D52915" w:rsidRPr="00D52915" w:rsidRDefault="00D52915" w:rsidP="00D5291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Phases out at higher income levels</w:t>
      </w:r>
    </w:p>
    <w:p w14:paraId="0BD44F44"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Credit for Other Dependents</w:t>
      </w:r>
    </w:p>
    <w:p w14:paraId="6AF19AFF" w14:textId="77777777" w:rsidR="00D52915" w:rsidRPr="00D52915" w:rsidRDefault="00D52915" w:rsidP="00D5291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Up to $500</w:t>
      </w:r>
      <w:r w:rsidRPr="00D52915">
        <w:rPr>
          <w:rFonts w:ascii="Times New Roman" w:eastAsia="Times New Roman" w:hAnsi="Times New Roman" w:cs="Times New Roman"/>
          <w:kern w:val="0"/>
          <w14:ligatures w14:val="none"/>
        </w:rPr>
        <w:t xml:space="preserve"> per qualifying non-child dependent</w:t>
      </w:r>
    </w:p>
    <w:p w14:paraId="51D42AC9"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Child &amp; Dependent Care Credit</w:t>
      </w:r>
    </w:p>
    <w:p w14:paraId="537A4E7D" w14:textId="77777777" w:rsidR="00D52915" w:rsidRPr="00D52915" w:rsidRDefault="00D52915" w:rsidP="00D5291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Percentage of qualified childcare expenses</w:t>
      </w:r>
    </w:p>
    <w:p w14:paraId="1621F9B7" w14:textId="77777777" w:rsidR="00D52915" w:rsidRPr="00D52915" w:rsidRDefault="00D52915" w:rsidP="00D5291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Based on income level</w:t>
      </w:r>
    </w:p>
    <w:p w14:paraId="30758EF7"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Education Credits</w:t>
      </w:r>
    </w:p>
    <w:p w14:paraId="28FA5706" w14:textId="77777777" w:rsidR="00D52915" w:rsidRPr="00D52915" w:rsidRDefault="00D52915" w:rsidP="00D5291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American Opportunity Credit</w:t>
      </w:r>
    </w:p>
    <w:p w14:paraId="26E94AFC" w14:textId="77777777" w:rsidR="00D52915" w:rsidRPr="00D52915" w:rsidRDefault="00D52915" w:rsidP="00D5291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Lifetime Learning Credit</w:t>
      </w:r>
    </w:p>
    <w:p w14:paraId="5EEE7C2A"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Retirement Saver’s Credit</w:t>
      </w:r>
    </w:p>
    <w:p w14:paraId="7E1E3032" w14:textId="77777777" w:rsidR="00D52915" w:rsidRPr="00D52915" w:rsidRDefault="00D52915" w:rsidP="00D5291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Credit for retirement contributions (income-based)</w:t>
      </w:r>
    </w:p>
    <w:p w14:paraId="672BDF4E"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Energy Credits</w:t>
      </w:r>
    </w:p>
    <w:p w14:paraId="192297D1" w14:textId="77777777" w:rsidR="00D52915" w:rsidRPr="00D52915" w:rsidRDefault="00D52915" w:rsidP="00D5291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Energy-efficient home improvements</w:t>
      </w:r>
    </w:p>
    <w:p w14:paraId="5F26F6A7" w14:textId="77777777" w:rsidR="00D52915" w:rsidRPr="00D52915" w:rsidRDefault="00D52915" w:rsidP="00D5291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Solar, heat pumps, insulation, etc.</w:t>
      </w:r>
    </w:p>
    <w:p w14:paraId="74D15AAD"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Electric Vehicle Credit</w:t>
      </w:r>
    </w:p>
    <w:p w14:paraId="1E90A246" w14:textId="77777777" w:rsidR="00D52915" w:rsidRPr="00D52915" w:rsidRDefault="00D52915" w:rsidP="00D5291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 xml:space="preserve">Up to </w:t>
      </w:r>
      <w:r w:rsidRPr="00D52915">
        <w:rPr>
          <w:rFonts w:ascii="Times New Roman" w:eastAsia="Times New Roman" w:hAnsi="Times New Roman" w:cs="Times New Roman"/>
          <w:b/>
          <w:bCs/>
          <w:kern w:val="0"/>
          <w14:ligatures w14:val="none"/>
        </w:rPr>
        <w:t>$7,500</w:t>
      </w:r>
      <w:r w:rsidRPr="00D52915">
        <w:rPr>
          <w:rFonts w:ascii="Times New Roman" w:eastAsia="Times New Roman" w:hAnsi="Times New Roman" w:cs="Times New Roman"/>
          <w:kern w:val="0"/>
          <w14:ligatures w14:val="none"/>
        </w:rPr>
        <w:t xml:space="preserve"> for qualifying EVs (income &amp; vehicle limits apply)</w:t>
      </w:r>
    </w:p>
    <w:p w14:paraId="2DAE21D6"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Premium Tax Credit</w:t>
      </w:r>
    </w:p>
    <w:p w14:paraId="0C54D062" w14:textId="77777777" w:rsidR="00D52915" w:rsidRPr="00D52915" w:rsidRDefault="00D52915" w:rsidP="00D5291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Health insurance purchased through Marketplace</w:t>
      </w:r>
    </w:p>
    <w:p w14:paraId="2CCAF793" w14:textId="1D034ACA" w:rsidR="00D52915" w:rsidRPr="00453EBB" w:rsidRDefault="00453EBB" w:rsidP="00D52915">
      <w:pPr>
        <w:spacing w:after="0" w:line="240" w:lineRule="auto"/>
        <w:rPr>
          <w:rFonts w:ascii="Times New Roman" w:eastAsia="Times New Roman" w:hAnsi="Times New Roman" w:cs="Times New Roman"/>
          <w:kern w:val="0"/>
          <w:sz w:val="20"/>
          <w:szCs w:val="20"/>
          <w14:ligatures w14:val="none"/>
        </w:rPr>
      </w:pPr>
      <w:r w:rsidRPr="00453EBB">
        <w:rPr>
          <w:sz w:val="20"/>
          <w:szCs w:val="20"/>
        </w:rPr>
        <w:t xml:space="preserve">Tax credits are among the most valuable tax benefits because they reduce your tax liability </w:t>
      </w:r>
      <w:r w:rsidRPr="00453EBB">
        <w:rPr>
          <w:rStyle w:val="Strong"/>
          <w:sz w:val="20"/>
          <w:szCs w:val="20"/>
        </w:rPr>
        <w:t>dollar for dollar</w:t>
      </w:r>
      <w:r w:rsidRPr="00453EBB">
        <w:rPr>
          <w:sz w:val="20"/>
          <w:szCs w:val="20"/>
        </w:rPr>
        <w:t>, rather than merely reducing taxable income. Some credits are refundable, meaning they can generate a refund even if no tax is owed. This section identifies credits related to children, dependents, education, retirement savings, energy efficiency, electric vehicles, and health insurance.</w:t>
      </w:r>
    </w:p>
    <w:p w14:paraId="6C2179DC" w14:textId="77777777" w:rsidR="00D52915" w:rsidRDefault="00D52915" w:rsidP="00D52915">
      <w:pPr>
        <w:spacing w:after="0" w:line="240" w:lineRule="auto"/>
        <w:rPr>
          <w:rFonts w:ascii="Times New Roman" w:eastAsia="Times New Roman" w:hAnsi="Times New Roman" w:cs="Times New Roman"/>
          <w:kern w:val="0"/>
          <w14:ligatures w14:val="none"/>
        </w:rPr>
      </w:pPr>
    </w:p>
    <w:p w14:paraId="3E44D50B" w14:textId="77777777" w:rsidR="00D52915" w:rsidRDefault="00D52915" w:rsidP="00D52915">
      <w:pPr>
        <w:spacing w:after="0" w:line="240" w:lineRule="auto"/>
        <w:rPr>
          <w:rFonts w:ascii="Times New Roman" w:eastAsia="Times New Roman" w:hAnsi="Times New Roman" w:cs="Times New Roman"/>
          <w:kern w:val="0"/>
          <w14:ligatures w14:val="none"/>
        </w:rPr>
      </w:pPr>
    </w:p>
    <w:p w14:paraId="0188902F" w14:textId="77777777"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SECTION 7 — EDUCATION</w:t>
      </w:r>
    </w:p>
    <w:p w14:paraId="6F0FFD04"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lastRenderedPageBreak/>
        <w:t>Purpose:</w:t>
      </w:r>
      <w:r w:rsidRPr="00D52915">
        <w:rPr>
          <w:rFonts w:ascii="Times New Roman" w:eastAsia="Times New Roman" w:hAnsi="Times New Roman" w:cs="Times New Roman"/>
          <w:kern w:val="0"/>
          <w14:ligatures w14:val="none"/>
        </w:rPr>
        <w:t xml:space="preserve"> Determines eligibility for education credits.</w:t>
      </w:r>
    </w:p>
    <w:p w14:paraId="536A6728" w14:textId="77777777" w:rsidR="00D52915" w:rsidRPr="00D52915" w:rsidRDefault="00D52915" w:rsidP="00D5291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Tuition paid (Form 1098-T)</w:t>
      </w:r>
    </w:p>
    <w:p w14:paraId="340453B5" w14:textId="77777777" w:rsidR="00D52915" w:rsidRPr="00D52915" w:rsidRDefault="00D52915" w:rsidP="00D5291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Student loan interest</w:t>
      </w:r>
    </w:p>
    <w:p w14:paraId="250C08FE" w14:textId="77777777" w:rsidR="00D52915" w:rsidRPr="00D52915" w:rsidRDefault="00D52915" w:rsidP="00D5291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Scholarships or grants received</w:t>
      </w:r>
    </w:p>
    <w:p w14:paraId="59C1C1A1" w14:textId="5D211589" w:rsidR="00D52915" w:rsidRPr="00453EBB" w:rsidRDefault="00453EBB" w:rsidP="00D52915">
      <w:pPr>
        <w:spacing w:after="0" w:line="240" w:lineRule="auto"/>
        <w:rPr>
          <w:rFonts w:ascii="Times New Roman" w:eastAsia="Times New Roman" w:hAnsi="Times New Roman" w:cs="Times New Roman"/>
          <w:kern w:val="0"/>
          <w:sz w:val="20"/>
          <w:szCs w:val="20"/>
          <w14:ligatures w14:val="none"/>
        </w:rPr>
      </w:pPr>
      <w:r w:rsidRPr="00453EBB">
        <w:rPr>
          <w:sz w:val="20"/>
          <w:szCs w:val="20"/>
        </w:rPr>
        <w:t>This section determines eligibility for education-related tax benefits. Qualified tuition, fees, and student loan interest may result in valuable credits or deductions. Scholarships and grants must also be reported, as some portions may be taxable. Education benefits are subject to income limits and coordination rules, so accurate reporting is necessary to avoid errors or lost credits.</w:t>
      </w:r>
    </w:p>
    <w:p w14:paraId="792E10A8" w14:textId="6B2F0BEE"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 xml:space="preserve">SECTION 8 — RETIREMENT CONTRIBUTION LIMITS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2263"/>
      </w:tblGrid>
      <w:tr w:rsidR="00D52915" w:rsidRPr="00D52915" w14:paraId="3B044E24" w14:textId="77777777" w:rsidTr="00D52915">
        <w:trPr>
          <w:tblHeader/>
          <w:tblCellSpacing w:w="15" w:type="dxa"/>
        </w:trPr>
        <w:tc>
          <w:tcPr>
            <w:tcW w:w="0" w:type="auto"/>
            <w:vAlign w:val="center"/>
            <w:hideMark/>
          </w:tcPr>
          <w:p w14:paraId="7741EEB2" w14:textId="77777777" w:rsidR="00D52915" w:rsidRPr="00D52915" w:rsidRDefault="00D52915" w:rsidP="00D52915">
            <w:pPr>
              <w:spacing w:after="0" w:line="240" w:lineRule="auto"/>
              <w:jc w:val="center"/>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Account Type</w:t>
            </w:r>
          </w:p>
        </w:tc>
        <w:tc>
          <w:tcPr>
            <w:tcW w:w="0" w:type="auto"/>
            <w:vAlign w:val="center"/>
            <w:hideMark/>
          </w:tcPr>
          <w:p w14:paraId="376F11A2" w14:textId="6BFF7D49" w:rsidR="00D52915" w:rsidRPr="00D52915" w:rsidRDefault="00D52915" w:rsidP="00D52915">
            <w:pPr>
              <w:spacing w:after="0" w:line="240" w:lineRule="auto"/>
              <w:jc w:val="center"/>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Limit</w:t>
            </w:r>
            <w:r w:rsidR="00453EBB">
              <w:rPr>
                <w:rFonts w:ascii="Times New Roman" w:eastAsia="Times New Roman" w:hAnsi="Times New Roman" w:cs="Times New Roman"/>
                <w:b/>
                <w:bCs/>
                <w:kern w:val="0"/>
                <w14:ligatures w14:val="none"/>
              </w:rPr>
              <w:t xml:space="preserve"> 2025</w:t>
            </w:r>
          </w:p>
        </w:tc>
      </w:tr>
      <w:tr w:rsidR="00D52915" w:rsidRPr="00D52915" w14:paraId="42A1E946" w14:textId="77777777" w:rsidTr="00D52915">
        <w:trPr>
          <w:tblCellSpacing w:w="15" w:type="dxa"/>
        </w:trPr>
        <w:tc>
          <w:tcPr>
            <w:tcW w:w="0" w:type="auto"/>
            <w:vAlign w:val="center"/>
            <w:hideMark/>
          </w:tcPr>
          <w:p w14:paraId="2F369033"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401(k), 403(b), TSP</w:t>
            </w:r>
          </w:p>
        </w:tc>
        <w:tc>
          <w:tcPr>
            <w:tcW w:w="0" w:type="auto"/>
            <w:vAlign w:val="center"/>
            <w:hideMark/>
          </w:tcPr>
          <w:p w14:paraId="5B46B530"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$23,500</w:t>
            </w:r>
          </w:p>
        </w:tc>
      </w:tr>
      <w:tr w:rsidR="00D52915" w:rsidRPr="00D52915" w14:paraId="39CFEF75" w14:textId="77777777" w:rsidTr="00D52915">
        <w:trPr>
          <w:tblCellSpacing w:w="15" w:type="dxa"/>
        </w:trPr>
        <w:tc>
          <w:tcPr>
            <w:tcW w:w="0" w:type="auto"/>
            <w:vAlign w:val="center"/>
            <w:hideMark/>
          </w:tcPr>
          <w:p w14:paraId="587EFF6A"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IRA (Traditional or Roth)</w:t>
            </w:r>
          </w:p>
        </w:tc>
        <w:tc>
          <w:tcPr>
            <w:tcW w:w="0" w:type="auto"/>
            <w:vAlign w:val="center"/>
            <w:hideMark/>
          </w:tcPr>
          <w:p w14:paraId="1B196F4F"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$7,000</w:t>
            </w:r>
          </w:p>
        </w:tc>
      </w:tr>
      <w:tr w:rsidR="00D52915" w:rsidRPr="00D52915" w14:paraId="68DB2707" w14:textId="77777777" w:rsidTr="00D52915">
        <w:trPr>
          <w:tblCellSpacing w:w="15" w:type="dxa"/>
        </w:trPr>
        <w:tc>
          <w:tcPr>
            <w:tcW w:w="0" w:type="auto"/>
            <w:vAlign w:val="center"/>
            <w:hideMark/>
          </w:tcPr>
          <w:p w14:paraId="79223976"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IRA Catch-Up (Age 50+)</w:t>
            </w:r>
          </w:p>
        </w:tc>
        <w:tc>
          <w:tcPr>
            <w:tcW w:w="0" w:type="auto"/>
            <w:vAlign w:val="center"/>
            <w:hideMark/>
          </w:tcPr>
          <w:p w14:paraId="31035B87"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$1,000</w:t>
            </w:r>
          </w:p>
        </w:tc>
      </w:tr>
      <w:tr w:rsidR="00D52915" w:rsidRPr="00D52915" w14:paraId="4C48A788" w14:textId="77777777" w:rsidTr="00D52915">
        <w:trPr>
          <w:tblCellSpacing w:w="15" w:type="dxa"/>
        </w:trPr>
        <w:tc>
          <w:tcPr>
            <w:tcW w:w="0" w:type="auto"/>
            <w:vAlign w:val="center"/>
            <w:hideMark/>
          </w:tcPr>
          <w:p w14:paraId="3A752158"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HSA — Self-Only</w:t>
            </w:r>
          </w:p>
        </w:tc>
        <w:tc>
          <w:tcPr>
            <w:tcW w:w="0" w:type="auto"/>
            <w:vAlign w:val="center"/>
            <w:hideMark/>
          </w:tcPr>
          <w:p w14:paraId="3A8CF2BA"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$4,300</w:t>
            </w:r>
          </w:p>
        </w:tc>
      </w:tr>
      <w:tr w:rsidR="00D52915" w:rsidRPr="00D52915" w14:paraId="6432AFCD" w14:textId="77777777" w:rsidTr="00D52915">
        <w:trPr>
          <w:tblCellSpacing w:w="15" w:type="dxa"/>
        </w:trPr>
        <w:tc>
          <w:tcPr>
            <w:tcW w:w="0" w:type="auto"/>
            <w:vAlign w:val="center"/>
            <w:hideMark/>
          </w:tcPr>
          <w:p w14:paraId="1A4FDDB5"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HSA — Family</w:t>
            </w:r>
          </w:p>
        </w:tc>
        <w:tc>
          <w:tcPr>
            <w:tcW w:w="0" w:type="auto"/>
            <w:vAlign w:val="center"/>
            <w:hideMark/>
          </w:tcPr>
          <w:p w14:paraId="04F91F4E"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$8,550</w:t>
            </w:r>
          </w:p>
        </w:tc>
      </w:tr>
      <w:tr w:rsidR="00D52915" w:rsidRPr="00D52915" w14:paraId="26B295FF" w14:textId="77777777" w:rsidTr="00D52915">
        <w:trPr>
          <w:tblCellSpacing w:w="15" w:type="dxa"/>
        </w:trPr>
        <w:tc>
          <w:tcPr>
            <w:tcW w:w="0" w:type="auto"/>
            <w:vAlign w:val="center"/>
            <w:hideMark/>
          </w:tcPr>
          <w:p w14:paraId="078F3BB8"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Health FSA</w:t>
            </w:r>
          </w:p>
        </w:tc>
        <w:tc>
          <w:tcPr>
            <w:tcW w:w="0" w:type="auto"/>
            <w:vAlign w:val="center"/>
            <w:hideMark/>
          </w:tcPr>
          <w:p w14:paraId="1CF2B912"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$3,300</w:t>
            </w:r>
          </w:p>
        </w:tc>
      </w:tr>
      <w:tr w:rsidR="00D52915" w:rsidRPr="00D52915" w14:paraId="38186518" w14:textId="77777777" w:rsidTr="00D52915">
        <w:trPr>
          <w:tblCellSpacing w:w="15" w:type="dxa"/>
        </w:trPr>
        <w:tc>
          <w:tcPr>
            <w:tcW w:w="0" w:type="auto"/>
            <w:vAlign w:val="center"/>
            <w:hideMark/>
          </w:tcPr>
          <w:p w14:paraId="2C3122CB"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Dependent Care FSA</w:t>
            </w:r>
          </w:p>
        </w:tc>
        <w:tc>
          <w:tcPr>
            <w:tcW w:w="0" w:type="auto"/>
            <w:vAlign w:val="center"/>
            <w:hideMark/>
          </w:tcPr>
          <w:p w14:paraId="74108056"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$5,000 per household</w:t>
            </w:r>
          </w:p>
        </w:tc>
      </w:tr>
    </w:tbl>
    <w:p w14:paraId="1AEB1B51" w14:textId="77777777" w:rsid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Explanation:</w:t>
      </w:r>
      <w:r w:rsidRPr="00D52915">
        <w:rPr>
          <w:rFonts w:ascii="Times New Roman" w:eastAsia="Times New Roman" w:hAnsi="Times New Roman" w:cs="Times New Roman"/>
          <w:kern w:val="0"/>
          <w14:ligatures w14:val="none"/>
        </w:rPr>
        <w:br/>
        <w:t>Traditional contributions often reduce taxable income; Roth contributions grow tax-free.</w:t>
      </w:r>
    </w:p>
    <w:p w14:paraId="4883C4D9" w14:textId="6DE8ABD8" w:rsidR="00D52915" w:rsidRPr="00453EBB" w:rsidRDefault="00453EBB" w:rsidP="00453EBB">
      <w:pPr>
        <w:pStyle w:val="NormalWeb"/>
        <w:rPr>
          <w:sz w:val="20"/>
          <w:szCs w:val="20"/>
        </w:rPr>
      </w:pPr>
      <w:r w:rsidRPr="00453EBB">
        <w:rPr>
          <w:sz w:val="20"/>
          <w:szCs w:val="20"/>
        </w:rPr>
        <w:t>This section tracks retirement savings contributions and retirement income. Contributions to certain retirement accounts can reduce current taxable income, while distributions are often taxable. Required Minimum Distributions (RMDs) must be taken once you reach a certain age, and failure to do so results in steep penalties. Proper reporting ensures compliance and accurate taxation of retirement funds.</w:t>
      </w:r>
    </w:p>
    <w:p w14:paraId="02238B2F" w14:textId="77777777"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SECTION 9 — HEALTH INSURANCE</w:t>
      </w:r>
    </w:p>
    <w:p w14:paraId="289F2F17"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Purpose:</w:t>
      </w:r>
      <w:r w:rsidRPr="00D52915">
        <w:rPr>
          <w:rFonts w:ascii="Times New Roman" w:eastAsia="Times New Roman" w:hAnsi="Times New Roman" w:cs="Times New Roman"/>
          <w:kern w:val="0"/>
          <w14:ligatures w14:val="none"/>
        </w:rPr>
        <w:t xml:space="preserve"> Confirms compliance and reconciles credits.</w:t>
      </w:r>
    </w:p>
    <w:p w14:paraId="7DDE54DA" w14:textId="77777777" w:rsidR="00D52915" w:rsidRPr="00D52915" w:rsidRDefault="00D52915" w:rsidP="00D5291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 xml:space="preserve">Covered all year? </w:t>
      </w:r>
      <w:r w:rsidRPr="00D52915">
        <w:rPr>
          <w:rFonts w:ascii="Segoe UI Symbol" w:eastAsia="Times New Roman" w:hAnsi="Segoe UI Symbol" w:cs="Segoe UI Symbol"/>
          <w:kern w:val="0"/>
          <w14:ligatures w14:val="none"/>
        </w:rPr>
        <w:t>☐</w:t>
      </w:r>
      <w:r w:rsidRPr="00D52915">
        <w:rPr>
          <w:rFonts w:ascii="Times New Roman" w:eastAsia="Times New Roman" w:hAnsi="Times New Roman" w:cs="Times New Roman"/>
          <w:kern w:val="0"/>
          <w14:ligatures w14:val="none"/>
        </w:rPr>
        <w:t xml:space="preserve"> Yes </w:t>
      </w:r>
      <w:r w:rsidRPr="00D52915">
        <w:rPr>
          <w:rFonts w:ascii="Segoe UI Symbol" w:eastAsia="Times New Roman" w:hAnsi="Segoe UI Symbol" w:cs="Segoe UI Symbol"/>
          <w:kern w:val="0"/>
          <w14:ligatures w14:val="none"/>
        </w:rPr>
        <w:t>☐</w:t>
      </w:r>
      <w:r w:rsidRPr="00D52915">
        <w:rPr>
          <w:rFonts w:ascii="Times New Roman" w:eastAsia="Times New Roman" w:hAnsi="Times New Roman" w:cs="Times New Roman"/>
          <w:kern w:val="0"/>
          <w14:ligatures w14:val="none"/>
        </w:rPr>
        <w:t xml:space="preserve"> No</w:t>
      </w:r>
    </w:p>
    <w:p w14:paraId="556A3BAF" w14:textId="77777777" w:rsidR="00D52915" w:rsidRPr="00D52915" w:rsidRDefault="00D52915" w:rsidP="00D5291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Marketplace insurance (Form 1095-A)</w:t>
      </w:r>
    </w:p>
    <w:p w14:paraId="67809897" w14:textId="77777777" w:rsidR="00D52915" w:rsidRPr="00D52915" w:rsidRDefault="00D52915" w:rsidP="00D5291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HSA contributions or withdrawals</w:t>
      </w:r>
    </w:p>
    <w:p w14:paraId="4B6AC7E6" w14:textId="74AACC88" w:rsidR="00D52915" w:rsidRPr="00453EBB" w:rsidRDefault="00453EBB" w:rsidP="00D52915">
      <w:pPr>
        <w:spacing w:after="0" w:line="240" w:lineRule="auto"/>
        <w:rPr>
          <w:rFonts w:ascii="Times New Roman" w:eastAsia="Times New Roman" w:hAnsi="Times New Roman" w:cs="Times New Roman"/>
          <w:kern w:val="0"/>
          <w:sz w:val="20"/>
          <w:szCs w:val="20"/>
          <w14:ligatures w14:val="none"/>
        </w:rPr>
      </w:pPr>
      <w:r w:rsidRPr="00453EBB">
        <w:rPr>
          <w:sz w:val="20"/>
          <w:szCs w:val="20"/>
        </w:rPr>
        <w:t>This section verifies health insurance coverage and reconciles any advance tax credits received through the Health Insurance Marketplace. It also tracks Health Savings Account (HSA) contributions and withdrawals, which have strict rules. Errors in this section can delay refunds or result in repayment of advance credits.</w:t>
      </w:r>
    </w:p>
    <w:p w14:paraId="5A83A3BC" w14:textId="77777777"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SECTION 10 — FOREIGN &amp; DIGITAL ASSETS</w:t>
      </w:r>
    </w:p>
    <w:p w14:paraId="072D53B1"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lastRenderedPageBreak/>
        <w:t>Purpose:</w:t>
      </w:r>
      <w:r w:rsidRPr="00D52915">
        <w:rPr>
          <w:rFonts w:ascii="Times New Roman" w:eastAsia="Times New Roman" w:hAnsi="Times New Roman" w:cs="Times New Roman"/>
          <w:kern w:val="0"/>
          <w14:ligatures w14:val="none"/>
        </w:rPr>
        <w:t xml:space="preserve"> High-penalty reporting areas.</w:t>
      </w:r>
    </w:p>
    <w:p w14:paraId="70F07275" w14:textId="77777777" w:rsidR="00D52915" w:rsidRPr="00D52915" w:rsidRDefault="00D52915" w:rsidP="00D5291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Foreign bank accounts (FBAR)</w:t>
      </w:r>
    </w:p>
    <w:p w14:paraId="5363E571" w14:textId="77777777" w:rsidR="00D52915" w:rsidRPr="00D52915" w:rsidRDefault="00D52915" w:rsidP="00D5291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Foreign income</w:t>
      </w:r>
    </w:p>
    <w:p w14:paraId="3A661251" w14:textId="77777777" w:rsidR="00D52915" w:rsidRPr="00D52915" w:rsidRDefault="00D52915" w:rsidP="00D5291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Foreign financial assets (FATCA)</w:t>
      </w:r>
    </w:p>
    <w:p w14:paraId="78D98756" w14:textId="77777777" w:rsidR="00D52915" w:rsidRDefault="00D52915" w:rsidP="00D5291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Cryptocurrency transactions</w:t>
      </w:r>
    </w:p>
    <w:p w14:paraId="77B90C5F" w14:textId="27A9869A" w:rsidR="00453EBB" w:rsidRPr="00453EBB" w:rsidRDefault="00453EBB" w:rsidP="00453EB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453EBB">
        <w:rPr>
          <w:sz w:val="20"/>
          <w:szCs w:val="20"/>
        </w:rPr>
        <w:t xml:space="preserve">The IRS imposes strict reporting requirements for foreign financial accounts, foreign income, and cryptocurrency transactions. Penalties for noncompliance can be severe, even if no tax is owed. This section ensures compliance with </w:t>
      </w:r>
      <w:r w:rsidRPr="00453EBB">
        <w:rPr>
          <w:rStyle w:val="Strong"/>
          <w:sz w:val="20"/>
          <w:szCs w:val="20"/>
        </w:rPr>
        <w:t>FBAR</w:t>
      </w:r>
      <w:r w:rsidRPr="00453EBB">
        <w:rPr>
          <w:sz w:val="20"/>
          <w:szCs w:val="20"/>
        </w:rPr>
        <w:t xml:space="preserve">, </w:t>
      </w:r>
      <w:r w:rsidRPr="00453EBB">
        <w:rPr>
          <w:rStyle w:val="Strong"/>
          <w:sz w:val="20"/>
          <w:szCs w:val="20"/>
        </w:rPr>
        <w:t>FATCA</w:t>
      </w:r>
      <w:r w:rsidRPr="00453EBB">
        <w:rPr>
          <w:sz w:val="20"/>
          <w:szCs w:val="20"/>
        </w:rPr>
        <w:t>, and digital asset reporting rules, which are common audit and enforcement areas.</w:t>
      </w:r>
    </w:p>
    <w:p w14:paraId="4C29ED3F" w14:textId="5CD66E55" w:rsidR="00D52915" w:rsidRPr="00D52915" w:rsidRDefault="00D52915" w:rsidP="00D52915">
      <w:pPr>
        <w:spacing w:after="0" w:line="240" w:lineRule="auto"/>
        <w:rPr>
          <w:rFonts w:ascii="Times New Roman" w:eastAsia="Times New Roman" w:hAnsi="Times New Roman" w:cs="Times New Roman"/>
          <w:kern w:val="0"/>
          <w14:ligatures w14:val="none"/>
        </w:rPr>
      </w:pPr>
    </w:p>
    <w:p w14:paraId="7F7F5F3A" w14:textId="77777777"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SECTION 11 — ESTIMATED TAX PAYMENTS</w:t>
      </w:r>
    </w:p>
    <w:p w14:paraId="54753000"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Purpose:</w:t>
      </w:r>
      <w:r w:rsidRPr="00D52915">
        <w:rPr>
          <w:rFonts w:ascii="Times New Roman" w:eastAsia="Times New Roman" w:hAnsi="Times New Roman" w:cs="Times New Roman"/>
          <w:kern w:val="0"/>
          <w14:ligatures w14:val="none"/>
        </w:rPr>
        <w:t xml:space="preserve"> Prevents penalties and double payment.</w:t>
      </w:r>
    </w:p>
    <w:p w14:paraId="2EBF5A79" w14:textId="77777777" w:rsidR="00D52915" w:rsidRPr="00D52915" w:rsidRDefault="00D52915" w:rsidP="00D5291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Federal estimated taxes paid</w:t>
      </w:r>
    </w:p>
    <w:p w14:paraId="7DFEB210" w14:textId="77777777" w:rsidR="00D52915" w:rsidRPr="00D52915" w:rsidRDefault="00D52915" w:rsidP="00D5291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State estimated taxes paid</w:t>
      </w:r>
    </w:p>
    <w:p w14:paraId="2F021569" w14:textId="77777777" w:rsidR="00D52915" w:rsidRPr="00D52915" w:rsidRDefault="00D52915" w:rsidP="00D5291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Prior-year refund applied to 2025</w:t>
      </w:r>
    </w:p>
    <w:p w14:paraId="7DFC31E3" w14:textId="79A85977" w:rsidR="00D52915" w:rsidRPr="00453EBB" w:rsidRDefault="00453EBB" w:rsidP="00D52915">
      <w:pPr>
        <w:spacing w:after="0" w:line="240" w:lineRule="auto"/>
        <w:rPr>
          <w:rFonts w:ascii="Times New Roman" w:eastAsia="Times New Roman" w:hAnsi="Times New Roman" w:cs="Times New Roman"/>
          <w:kern w:val="0"/>
          <w:sz w:val="20"/>
          <w:szCs w:val="20"/>
          <w14:ligatures w14:val="none"/>
        </w:rPr>
      </w:pPr>
      <w:r w:rsidRPr="00453EBB">
        <w:rPr>
          <w:sz w:val="20"/>
          <w:szCs w:val="20"/>
        </w:rPr>
        <w:t>This section records tax payments already made during the year, including quarterly estimated payments and prior-year refunds applied forward. These payments are credited against your total tax liability. Accurate reporting prevents overpayment, underpayment penalties, and incorrect balances due.</w:t>
      </w:r>
    </w:p>
    <w:p w14:paraId="4F12BC03" w14:textId="77777777"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SECTION 12 — LIFE EVENTS</w:t>
      </w:r>
    </w:p>
    <w:p w14:paraId="1CC3A42C"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Purpose:</w:t>
      </w:r>
      <w:r w:rsidRPr="00D52915">
        <w:rPr>
          <w:rFonts w:ascii="Times New Roman" w:eastAsia="Times New Roman" w:hAnsi="Times New Roman" w:cs="Times New Roman"/>
          <w:kern w:val="0"/>
          <w14:ligatures w14:val="none"/>
        </w:rPr>
        <w:t xml:space="preserve"> Identifies special tax rules.</w:t>
      </w:r>
    </w:p>
    <w:p w14:paraId="187DE0BD" w14:textId="77777777" w:rsidR="00D52915" w:rsidRPr="00D52915" w:rsidRDefault="00D52915" w:rsidP="00D5291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Marriage or divorce</w:t>
      </w:r>
    </w:p>
    <w:p w14:paraId="30236157" w14:textId="77777777" w:rsidR="00D52915" w:rsidRPr="00D52915" w:rsidRDefault="00D52915" w:rsidP="00D5291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Birth or adoption</w:t>
      </w:r>
    </w:p>
    <w:p w14:paraId="585A26AA" w14:textId="77777777" w:rsidR="00D52915" w:rsidRPr="00D52915" w:rsidRDefault="00D52915" w:rsidP="00D5291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Death of spouse or dependent</w:t>
      </w:r>
    </w:p>
    <w:p w14:paraId="158A1C5B" w14:textId="77777777" w:rsidR="00D52915" w:rsidRPr="00D52915" w:rsidRDefault="00D52915" w:rsidP="00D5291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Job change</w:t>
      </w:r>
    </w:p>
    <w:p w14:paraId="6E6E854E" w14:textId="77777777" w:rsidR="00D52915" w:rsidRPr="00D52915" w:rsidRDefault="00D52915" w:rsidP="00D5291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Business started or closed</w:t>
      </w:r>
    </w:p>
    <w:p w14:paraId="20FCEEA9" w14:textId="77777777" w:rsidR="00D52915" w:rsidRPr="00D52915" w:rsidRDefault="00D52915" w:rsidP="00D5291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Home purchase or sale</w:t>
      </w:r>
    </w:p>
    <w:p w14:paraId="225C7D79" w14:textId="77777777" w:rsidR="00D52915" w:rsidRPr="00D52915" w:rsidRDefault="00D52915" w:rsidP="00D5291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Disaster or major medical event</w:t>
      </w:r>
    </w:p>
    <w:p w14:paraId="1307AFE4" w14:textId="77777777" w:rsidR="00453EBB" w:rsidRDefault="00453EBB" w:rsidP="00453EBB">
      <w:pPr>
        <w:spacing w:after="0" w:line="240" w:lineRule="auto"/>
        <w:rPr>
          <w:rFonts w:ascii="Times New Roman" w:eastAsia="Times New Roman" w:hAnsi="Times New Roman" w:cs="Times New Roman"/>
          <w:kern w:val="0"/>
          <w:sz w:val="20"/>
          <w:szCs w:val="20"/>
          <w14:ligatures w14:val="none"/>
        </w:rPr>
      </w:pPr>
      <w:r w:rsidRPr="00453EBB">
        <w:rPr>
          <w:sz w:val="20"/>
          <w:szCs w:val="20"/>
        </w:rPr>
        <w:t>Major life events can significantly affect your tax situation by changing filing status, eligibility for deductions or credits, and how income is taxed. This section identifies events such as marriage, divorce, childbirth, death, job changes, business activity, home transactions, or disasters that may require special tax treatment or additional forms.</w:t>
      </w:r>
    </w:p>
    <w:p w14:paraId="10378A18" w14:textId="1A6E42DC" w:rsidR="00D52915" w:rsidRPr="00453EBB" w:rsidRDefault="00D52915" w:rsidP="00453EBB">
      <w:pPr>
        <w:spacing w:after="0" w:line="240" w:lineRule="auto"/>
        <w:rPr>
          <w:rFonts w:ascii="Times New Roman" w:eastAsia="Times New Roman" w:hAnsi="Times New Roman" w:cs="Times New Roman"/>
          <w:kern w:val="0"/>
          <w:sz w:val="20"/>
          <w:szCs w:val="20"/>
          <w14:ligatures w14:val="none"/>
        </w:rPr>
      </w:pPr>
      <w:r w:rsidRPr="00D52915">
        <w:rPr>
          <w:rFonts w:ascii="Times New Roman" w:eastAsia="Times New Roman" w:hAnsi="Times New Roman" w:cs="Times New Roman"/>
          <w:b/>
          <w:bCs/>
          <w:kern w:val="0"/>
          <w:sz w:val="36"/>
          <w:szCs w:val="36"/>
          <w14:ligatures w14:val="none"/>
        </w:rPr>
        <w:t>SECTION 13 — 2025 FEDERAL TAX BRACKETS</w:t>
      </w:r>
    </w:p>
    <w:p w14:paraId="3DB96594" w14:textId="77777777" w:rsidR="00D52915" w:rsidRPr="00D52915" w:rsidRDefault="00D52915" w:rsidP="00D529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52915">
        <w:rPr>
          <w:rFonts w:ascii="Times New Roman" w:eastAsia="Times New Roman" w:hAnsi="Times New Roman" w:cs="Times New Roman"/>
          <w:b/>
          <w:bCs/>
          <w:kern w:val="0"/>
          <w:sz w:val="27"/>
          <w:szCs w:val="27"/>
          <w14:ligatures w14:val="none"/>
        </w:rPr>
        <w:t>Marginal Tax Rates (Taxable Income)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2340"/>
        <w:gridCol w:w="2700"/>
        <w:gridCol w:w="2970"/>
      </w:tblGrid>
      <w:tr w:rsidR="00D52915" w:rsidRPr="00D52915" w14:paraId="40FFA30E" w14:textId="77777777" w:rsidTr="00453EBB">
        <w:trPr>
          <w:tblHeader/>
          <w:tblCellSpacing w:w="15" w:type="dxa"/>
        </w:trPr>
        <w:tc>
          <w:tcPr>
            <w:tcW w:w="940" w:type="dxa"/>
            <w:vAlign w:val="center"/>
            <w:hideMark/>
          </w:tcPr>
          <w:p w14:paraId="0C7AB4B6" w14:textId="77777777" w:rsidR="00D52915" w:rsidRPr="00D52915" w:rsidRDefault="00D52915" w:rsidP="00D52915">
            <w:pPr>
              <w:spacing w:after="0" w:line="240" w:lineRule="auto"/>
              <w:jc w:val="center"/>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lastRenderedPageBreak/>
              <w:t>Rate</w:t>
            </w:r>
          </w:p>
        </w:tc>
        <w:tc>
          <w:tcPr>
            <w:tcW w:w="2310" w:type="dxa"/>
            <w:vAlign w:val="center"/>
            <w:hideMark/>
          </w:tcPr>
          <w:p w14:paraId="5A736AB4" w14:textId="77777777" w:rsidR="00D52915" w:rsidRPr="00D52915" w:rsidRDefault="00D52915" w:rsidP="00D52915">
            <w:pPr>
              <w:spacing w:after="0" w:line="240" w:lineRule="auto"/>
              <w:jc w:val="center"/>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Single</w:t>
            </w:r>
          </w:p>
        </w:tc>
        <w:tc>
          <w:tcPr>
            <w:tcW w:w="2670" w:type="dxa"/>
            <w:vAlign w:val="center"/>
            <w:hideMark/>
          </w:tcPr>
          <w:p w14:paraId="18D16B43" w14:textId="77777777" w:rsidR="00D52915" w:rsidRPr="00D52915" w:rsidRDefault="00D52915" w:rsidP="00D52915">
            <w:pPr>
              <w:spacing w:after="0" w:line="240" w:lineRule="auto"/>
              <w:jc w:val="center"/>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Married Filing Jointly</w:t>
            </w:r>
          </w:p>
        </w:tc>
        <w:tc>
          <w:tcPr>
            <w:tcW w:w="2925" w:type="dxa"/>
            <w:vAlign w:val="center"/>
            <w:hideMark/>
          </w:tcPr>
          <w:p w14:paraId="350CA416" w14:textId="77777777" w:rsidR="00D52915" w:rsidRPr="00D52915" w:rsidRDefault="00D52915" w:rsidP="00D52915">
            <w:pPr>
              <w:spacing w:after="0" w:line="240" w:lineRule="auto"/>
              <w:jc w:val="center"/>
              <w:rPr>
                <w:rFonts w:ascii="Times New Roman" w:eastAsia="Times New Roman" w:hAnsi="Times New Roman" w:cs="Times New Roman"/>
                <w:b/>
                <w:bCs/>
                <w:kern w:val="0"/>
                <w14:ligatures w14:val="none"/>
              </w:rPr>
            </w:pPr>
            <w:r w:rsidRPr="00D52915">
              <w:rPr>
                <w:rFonts w:ascii="Times New Roman" w:eastAsia="Times New Roman" w:hAnsi="Times New Roman" w:cs="Times New Roman"/>
                <w:b/>
                <w:bCs/>
                <w:kern w:val="0"/>
                <w14:ligatures w14:val="none"/>
              </w:rPr>
              <w:t>Head of Household</w:t>
            </w:r>
          </w:p>
        </w:tc>
      </w:tr>
      <w:tr w:rsidR="00D52915" w:rsidRPr="00D52915" w14:paraId="40E9F7A3" w14:textId="77777777" w:rsidTr="00453EBB">
        <w:trPr>
          <w:tblCellSpacing w:w="15" w:type="dxa"/>
        </w:trPr>
        <w:tc>
          <w:tcPr>
            <w:tcW w:w="940" w:type="dxa"/>
            <w:vAlign w:val="center"/>
            <w:hideMark/>
          </w:tcPr>
          <w:p w14:paraId="2A1F195E"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10%</w:t>
            </w:r>
          </w:p>
        </w:tc>
        <w:tc>
          <w:tcPr>
            <w:tcW w:w="2310" w:type="dxa"/>
            <w:vAlign w:val="center"/>
            <w:hideMark/>
          </w:tcPr>
          <w:p w14:paraId="061CF75B"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$0 – $11,925</w:t>
            </w:r>
          </w:p>
        </w:tc>
        <w:tc>
          <w:tcPr>
            <w:tcW w:w="2670" w:type="dxa"/>
            <w:vAlign w:val="center"/>
            <w:hideMark/>
          </w:tcPr>
          <w:p w14:paraId="204A071F"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$0 – $23,850</w:t>
            </w:r>
          </w:p>
        </w:tc>
        <w:tc>
          <w:tcPr>
            <w:tcW w:w="2925" w:type="dxa"/>
            <w:vAlign w:val="center"/>
            <w:hideMark/>
          </w:tcPr>
          <w:p w14:paraId="52FFF86B"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$0 – $17,000</w:t>
            </w:r>
          </w:p>
        </w:tc>
      </w:tr>
      <w:tr w:rsidR="00D52915" w:rsidRPr="00D52915" w14:paraId="4F6CE034" w14:textId="77777777" w:rsidTr="00453EBB">
        <w:trPr>
          <w:tblCellSpacing w:w="15" w:type="dxa"/>
        </w:trPr>
        <w:tc>
          <w:tcPr>
            <w:tcW w:w="940" w:type="dxa"/>
            <w:vAlign w:val="center"/>
            <w:hideMark/>
          </w:tcPr>
          <w:p w14:paraId="6ACE0F17"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12%</w:t>
            </w:r>
          </w:p>
        </w:tc>
        <w:tc>
          <w:tcPr>
            <w:tcW w:w="2310" w:type="dxa"/>
            <w:vAlign w:val="center"/>
            <w:hideMark/>
          </w:tcPr>
          <w:p w14:paraId="7E25CE40"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$11,926 – $48,475</w:t>
            </w:r>
          </w:p>
        </w:tc>
        <w:tc>
          <w:tcPr>
            <w:tcW w:w="2670" w:type="dxa"/>
            <w:vAlign w:val="center"/>
            <w:hideMark/>
          </w:tcPr>
          <w:p w14:paraId="0B6678D8"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$23,851 – $96,950</w:t>
            </w:r>
          </w:p>
        </w:tc>
        <w:tc>
          <w:tcPr>
            <w:tcW w:w="2925" w:type="dxa"/>
            <w:vAlign w:val="center"/>
            <w:hideMark/>
          </w:tcPr>
          <w:p w14:paraId="7536B93A"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$17,001 – $64,850</w:t>
            </w:r>
          </w:p>
        </w:tc>
      </w:tr>
      <w:tr w:rsidR="00D52915" w:rsidRPr="00D52915" w14:paraId="3F816063" w14:textId="77777777" w:rsidTr="00453EBB">
        <w:trPr>
          <w:tblCellSpacing w:w="15" w:type="dxa"/>
        </w:trPr>
        <w:tc>
          <w:tcPr>
            <w:tcW w:w="940" w:type="dxa"/>
            <w:vAlign w:val="center"/>
            <w:hideMark/>
          </w:tcPr>
          <w:p w14:paraId="1EE20794"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22%</w:t>
            </w:r>
          </w:p>
        </w:tc>
        <w:tc>
          <w:tcPr>
            <w:tcW w:w="2310" w:type="dxa"/>
            <w:vAlign w:val="center"/>
            <w:hideMark/>
          </w:tcPr>
          <w:p w14:paraId="604986B0"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$48,476 – $103,350</w:t>
            </w:r>
          </w:p>
        </w:tc>
        <w:tc>
          <w:tcPr>
            <w:tcW w:w="2670" w:type="dxa"/>
            <w:vAlign w:val="center"/>
            <w:hideMark/>
          </w:tcPr>
          <w:p w14:paraId="7FC10A8A"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$96,951 – $206,700</w:t>
            </w:r>
          </w:p>
        </w:tc>
        <w:tc>
          <w:tcPr>
            <w:tcW w:w="2925" w:type="dxa"/>
            <w:vAlign w:val="center"/>
            <w:hideMark/>
          </w:tcPr>
          <w:p w14:paraId="2BBE52F6"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$64,851 – $103,350</w:t>
            </w:r>
          </w:p>
        </w:tc>
      </w:tr>
      <w:tr w:rsidR="00D52915" w:rsidRPr="00D52915" w14:paraId="2B33060D" w14:textId="77777777" w:rsidTr="00453EBB">
        <w:trPr>
          <w:tblCellSpacing w:w="15" w:type="dxa"/>
        </w:trPr>
        <w:tc>
          <w:tcPr>
            <w:tcW w:w="940" w:type="dxa"/>
            <w:vAlign w:val="center"/>
            <w:hideMark/>
          </w:tcPr>
          <w:p w14:paraId="615B9892"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24%</w:t>
            </w:r>
          </w:p>
        </w:tc>
        <w:tc>
          <w:tcPr>
            <w:tcW w:w="2310" w:type="dxa"/>
            <w:vAlign w:val="center"/>
            <w:hideMark/>
          </w:tcPr>
          <w:p w14:paraId="11F8F461"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$103,351 – $197,300</w:t>
            </w:r>
          </w:p>
        </w:tc>
        <w:tc>
          <w:tcPr>
            <w:tcW w:w="2670" w:type="dxa"/>
            <w:vAlign w:val="center"/>
            <w:hideMark/>
          </w:tcPr>
          <w:p w14:paraId="16C3F0D4"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$206,701 – $394,600</w:t>
            </w:r>
          </w:p>
        </w:tc>
        <w:tc>
          <w:tcPr>
            <w:tcW w:w="2925" w:type="dxa"/>
            <w:vAlign w:val="center"/>
            <w:hideMark/>
          </w:tcPr>
          <w:p w14:paraId="75FAA258"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$103,351 – $197,300</w:t>
            </w:r>
          </w:p>
        </w:tc>
      </w:tr>
      <w:tr w:rsidR="00D52915" w:rsidRPr="00D52915" w14:paraId="5F044FE2" w14:textId="77777777" w:rsidTr="00453EBB">
        <w:trPr>
          <w:tblCellSpacing w:w="15" w:type="dxa"/>
        </w:trPr>
        <w:tc>
          <w:tcPr>
            <w:tcW w:w="940" w:type="dxa"/>
            <w:vAlign w:val="center"/>
            <w:hideMark/>
          </w:tcPr>
          <w:p w14:paraId="5F7BF2C4"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32%</w:t>
            </w:r>
          </w:p>
        </w:tc>
        <w:tc>
          <w:tcPr>
            <w:tcW w:w="2310" w:type="dxa"/>
            <w:vAlign w:val="center"/>
            <w:hideMark/>
          </w:tcPr>
          <w:p w14:paraId="311D456F"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$197,301 – $250,525</w:t>
            </w:r>
          </w:p>
        </w:tc>
        <w:tc>
          <w:tcPr>
            <w:tcW w:w="2670" w:type="dxa"/>
            <w:vAlign w:val="center"/>
            <w:hideMark/>
          </w:tcPr>
          <w:p w14:paraId="4AFD934F"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$394,601 – $501,050</w:t>
            </w:r>
          </w:p>
        </w:tc>
        <w:tc>
          <w:tcPr>
            <w:tcW w:w="2925" w:type="dxa"/>
            <w:vAlign w:val="center"/>
            <w:hideMark/>
          </w:tcPr>
          <w:p w14:paraId="7D090B52"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$197,301 – $250,500</w:t>
            </w:r>
          </w:p>
        </w:tc>
      </w:tr>
      <w:tr w:rsidR="00D52915" w:rsidRPr="00D52915" w14:paraId="1FF2F2EB" w14:textId="77777777" w:rsidTr="00453EBB">
        <w:trPr>
          <w:tblCellSpacing w:w="15" w:type="dxa"/>
        </w:trPr>
        <w:tc>
          <w:tcPr>
            <w:tcW w:w="940" w:type="dxa"/>
            <w:vAlign w:val="center"/>
            <w:hideMark/>
          </w:tcPr>
          <w:p w14:paraId="43797E1F"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35%</w:t>
            </w:r>
          </w:p>
        </w:tc>
        <w:tc>
          <w:tcPr>
            <w:tcW w:w="2310" w:type="dxa"/>
            <w:vAlign w:val="center"/>
            <w:hideMark/>
          </w:tcPr>
          <w:p w14:paraId="26E8501E"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$250,526 – $626,350</w:t>
            </w:r>
          </w:p>
        </w:tc>
        <w:tc>
          <w:tcPr>
            <w:tcW w:w="2670" w:type="dxa"/>
            <w:vAlign w:val="center"/>
            <w:hideMark/>
          </w:tcPr>
          <w:p w14:paraId="3956551B"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$501,051 – $751,600</w:t>
            </w:r>
          </w:p>
        </w:tc>
        <w:tc>
          <w:tcPr>
            <w:tcW w:w="2925" w:type="dxa"/>
            <w:vAlign w:val="center"/>
            <w:hideMark/>
          </w:tcPr>
          <w:p w14:paraId="400BCE37"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$250,501 – $626,350</w:t>
            </w:r>
          </w:p>
        </w:tc>
      </w:tr>
      <w:tr w:rsidR="00D52915" w:rsidRPr="00D52915" w14:paraId="09CE1E23" w14:textId="77777777" w:rsidTr="00453EBB">
        <w:trPr>
          <w:tblCellSpacing w:w="15" w:type="dxa"/>
        </w:trPr>
        <w:tc>
          <w:tcPr>
            <w:tcW w:w="940" w:type="dxa"/>
            <w:vAlign w:val="center"/>
            <w:hideMark/>
          </w:tcPr>
          <w:p w14:paraId="465DDA2B"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37%</w:t>
            </w:r>
          </w:p>
        </w:tc>
        <w:tc>
          <w:tcPr>
            <w:tcW w:w="2310" w:type="dxa"/>
            <w:vAlign w:val="center"/>
            <w:hideMark/>
          </w:tcPr>
          <w:p w14:paraId="19877153"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$626,351+</w:t>
            </w:r>
          </w:p>
        </w:tc>
        <w:tc>
          <w:tcPr>
            <w:tcW w:w="2670" w:type="dxa"/>
            <w:vAlign w:val="center"/>
            <w:hideMark/>
          </w:tcPr>
          <w:p w14:paraId="7C133E7D"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$751,601+</w:t>
            </w:r>
          </w:p>
        </w:tc>
        <w:tc>
          <w:tcPr>
            <w:tcW w:w="2925" w:type="dxa"/>
            <w:vAlign w:val="center"/>
            <w:hideMark/>
          </w:tcPr>
          <w:p w14:paraId="09512A3D" w14:textId="77777777" w:rsidR="00D52915" w:rsidRPr="00D52915" w:rsidRDefault="00D52915" w:rsidP="00D52915">
            <w:pPr>
              <w:spacing w:after="0"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$626,351+</w:t>
            </w:r>
          </w:p>
        </w:tc>
      </w:tr>
    </w:tbl>
    <w:p w14:paraId="4366CC21"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Explanation:</w:t>
      </w:r>
      <w:r w:rsidRPr="00D52915">
        <w:rPr>
          <w:rFonts w:ascii="Times New Roman" w:eastAsia="Times New Roman" w:hAnsi="Times New Roman" w:cs="Times New Roman"/>
          <w:kern w:val="0"/>
          <w14:ligatures w14:val="none"/>
        </w:rPr>
        <w:br/>
        <w:t>Income is taxed in layers — only the amount within each bracket is taxed at that rate.</w:t>
      </w:r>
    </w:p>
    <w:p w14:paraId="2A65D977" w14:textId="77777777" w:rsidR="00453EBB" w:rsidRPr="00453EBB" w:rsidRDefault="00453EBB" w:rsidP="00453EBB">
      <w:pPr>
        <w:pStyle w:val="NormalWeb"/>
        <w:rPr>
          <w:sz w:val="20"/>
          <w:szCs w:val="20"/>
        </w:rPr>
      </w:pPr>
      <w:r w:rsidRPr="00453EBB">
        <w:rPr>
          <w:sz w:val="20"/>
          <w:szCs w:val="20"/>
        </w:rPr>
        <w:t xml:space="preserve">This section provides reference information showing how taxable income is taxed using </w:t>
      </w:r>
      <w:r w:rsidRPr="00453EBB">
        <w:rPr>
          <w:rStyle w:val="Strong"/>
          <w:rFonts w:eastAsiaTheme="majorEastAsia"/>
          <w:sz w:val="20"/>
          <w:szCs w:val="20"/>
        </w:rPr>
        <w:t>marginal tax brackets</w:t>
      </w:r>
      <w:r w:rsidRPr="00453EBB">
        <w:rPr>
          <w:sz w:val="20"/>
          <w:szCs w:val="20"/>
        </w:rPr>
        <w:t>. It helps taxpayers understand that income is taxed in layers and not at a single flat rate. This context is useful for planning deductions, estimating tax owed, and understanding how additional income may affect overall taxes.</w:t>
      </w:r>
    </w:p>
    <w:p w14:paraId="59B1D64B" w14:textId="736AE675" w:rsidR="00D52915" w:rsidRPr="00D52915" w:rsidRDefault="00D52915" w:rsidP="00D52915">
      <w:pPr>
        <w:spacing w:after="0" w:line="240" w:lineRule="auto"/>
        <w:rPr>
          <w:rFonts w:ascii="Times New Roman" w:eastAsia="Times New Roman" w:hAnsi="Times New Roman" w:cs="Times New Roman"/>
          <w:kern w:val="0"/>
          <w14:ligatures w14:val="none"/>
        </w:rPr>
      </w:pPr>
    </w:p>
    <w:p w14:paraId="1676DFF4" w14:textId="77777777" w:rsidR="00D52915" w:rsidRPr="00D52915" w:rsidRDefault="00D52915" w:rsidP="00D529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15">
        <w:rPr>
          <w:rFonts w:ascii="Times New Roman" w:eastAsia="Times New Roman" w:hAnsi="Times New Roman" w:cs="Times New Roman"/>
          <w:b/>
          <w:bCs/>
          <w:kern w:val="0"/>
          <w:sz w:val="36"/>
          <w:szCs w:val="36"/>
          <w14:ligatures w14:val="none"/>
        </w:rPr>
        <w:t>SECTION 14 — BANKING &amp; FILING</w:t>
      </w:r>
    </w:p>
    <w:p w14:paraId="697A4BE9" w14:textId="77777777" w:rsidR="00D52915" w:rsidRPr="00D52915" w:rsidRDefault="00D52915" w:rsidP="00D52915">
      <w:p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Purpose:</w:t>
      </w:r>
      <w:r w:rsidRPr="00D52915">
        <w:rPr>
          <w:rFonts w:ascii="Times New Roman" w:eastAsia="Times New Roman" w:hAnsi="Times New Roman" w:cs="Times New Roman"/>
          <w:kern w:val="0"/>
          <w14:ligatures w14:val="none"/>
        </w:rPr>
        <w:t xml:space="preserve"> IRS processing and authorization.</w:t>
      </w:r>
    </w:p>
    <w:p w14:paraId="13BF134C" w14:textId="77777777" w:rsidR="00D52915" w:rsidRPr="00D52915" w:rsidRDefault="00D52915" w:rsidP="00D5291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Bank routing &amp; account number (refunds/payments)</w:t>
      </w:r>
    </w:p>
    <w:p w14:paraId="3B31176C" w14:textId="77777777" w:rsidR="00453EBB" w:rsidRDefault="00D52915" w:rsidP="00453EB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E-file authorization</w:t>
      </w:r>
    </w:p>
    <w:p w14:paraId="45EE1C2A" w14:textId="19E682B5" w:rsidR="00D52915" w:rsidRPr="00453EBB" w:rsidRDefault="00D52915" w:rsidP="00453EB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EBB">
        <w:rPr>
          <w:rFonts w:ascii="Times New Roman" w:eastAsia="Times New Roman" w:hAnsi="Times New Roman" w:cs="Times New Roman"/>
          <w:kern w:val="0"/>
          <w14:ligatures w14:val="none"/>
        </w:rPr>
        <w:t>Preparer authorization</w:t>
      </w:r>
    </w:p>
    <w:p w14:paraId="05ED43EB" w14:textId="655C5084" w:rsidR="00453EBB" w:rsidRPr="00453EBB" w:rsidRDefault="00453EBB" w:rsidP="00453EBB">
      <w:pPr>
        <w:pStyle w:val="NormalWeb"/>
        <w:rPr>
          <w:sz w:val="20"/>
          <w:szCs w:val="20"/>
        </w:rPr>
      </w:pPr>
      <w:r w:rsidRPr="00453EBB">
        <w:rPr>
          <w:sz w:val="20"/>
          <w:szCs w:val="20"/>
        </w:rPr>
        <w:t>This section authorizes how your return is filed and how refunds or payments are processed. Direct deposit information speeds refunds and reduces errors. Filing authorizations allow electronic submission and permit a tax preparer to communicate with the IRS on your behalf if necessary.</w:t>
      </w:r>
    </w:p>
    <w:p w14:paraId="689A3292" w14:textId="77777777" w:rsidR="00453EBB" w:rsidRPr="00D52915" w:rsidRDefault="00453EBB" w:rsidP="00453EBB">
      <w:pPr>
        <w:spacing w:before="100" w:beforeAutospacing="1" w:after="100" w:afterAutospacing="1" w:line="240" w:lineRule="auto"/>
        <w:rPr>
          <w:rFonts w:ascii="Times New Roman" w:eastAsia="Times New Roman" w:hAnsi="Times New Roman" w:cs="Times New Roman"/>
          <w:kern w:val="0"/>
          <w14:ligatures w14:val="none"/>
        </w:rPr>
      </w:pPr>
    </w:p>
    <w:p w14:paraId="5ABB47CE" w14:textId="41D60A73" w:rsidR="00D52915" w:rsidRPr="00D52915" w:rsidRDefault="0004179A" w:rsidP="00D529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your information:</w:t>
      </w:r>
    </w:p>
    <w:p w14:paraId="7252640F" w14:textId="77777777" w:rsidR="00D52915" w:rsidRPr="00D52915" w:rsidRDefault="00D52915" w:rsidP="00D5291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Deductions reduce taxable income</w:t>
      </w:r>
    </w:p>
    <w:p w14:paraId="5DD57FF2" w14:textId="77777777" w:rsidR="00D52915" w:rsidRPr="00D52915" w:rsidRDefault="00D52915" w:rsidP="00D5291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Credits reduce tax owed</w:t>
      </w:r>
    </w:p>
    <w:p w14:paraId="629A415A" w14:textId="77777777" w:rsidR="00D52915" w:rsidRPr="00D52915" w:rsidRDefault="00D52915" w:rsidP="00D5291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b/>
          <w:bCs/>
          <w:kern w:val="0"/>
          <w14:ligatures w14:val="none"/>
        </w:rPr>
        <w:t>Refunds depend on payments vs. tax liability</w:t>
      </w:r>
    </w:p>
    <w:p w14:paraId="52C9FCC0" w14:textId="77777777" w:rsidR="00D52915" w:rsidRPr="00D52915" w:rsidRDefault="00D52915" w:rsidP="00D5291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2915">
        <w:rPr>
          <w:rFonts w:ascii="Times New Roman" w:eastAsia="Times New Roman" w:hAnsi="Times New Roman" w:cs="Times New Roman"/>
          <w:kern w:val="0"/>
          <w14:ligatures w14:val="none"/>
        </w:rPr>
        <w:t xml:space="preserve">Missing information can cause </w:t>
      </w:r>
      <w:r w:rsidRPr="00D52915">
        <w:rPr>
          <w:rFonts w:ascii="Times New Roman" w:eastAsia="Times New Roman" w:hAnsi="Times New Roman" w:cs="Times New Roman"/>
          <w:b/>
          <w:bCs/>
          <w:kern w:val="0"/>
          <w14:ligatures w14:val="none"/>
        </w:rPr>
        <w:t>penalties or delayed refunds</w:t>
      </w:r>
    </w:p>
    <w:p w14:paraId="15B521D5" w14:textId="77777777" w:rsidR="008A1D8A" w:rsidRDefault="008A1D8A"/>
    <w:sectPr w:rsidR="008A1D8A">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2C740" w14:textId="77777777" w:rsidR="00F416C5" w:rsidRDefault="00F416C5" w:rsidP="00D52915">
      <w:pPr>
        <w:spacing w:after="0" w:line="240" w:lineRule="auto"/>
      </w:pPr>
      <w:r>
        <w:separator/>
      </w:r>
    </w:p>
  </w:endnote>
  <w:endnote w:type="continuationSeparator" w:id="0">
    <w:p w14:paraId="1D98B95C" w14:textId="77777777" w:rsidR="00F416C5" w:rsidRDefault="00F416C5" w:rsidP="00D52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067873"/>
      <w:docPartObj>
        <w:docPartGallery w:val="Page Numbers (Bottom of Page)"/>
        <w:docPartUnique/>
      </w:docPartObj>
    </w:sdtPr>
    <w:sdtContent>
      <w:p w14:paraId="1D598C46" w14:textId="01C8568A" w:rsidR="00D52915" w:rsidRDefault="00D52915" w:rsidP="005826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109206" w14:textId="77777777" w:rsidR="00D52915" w:rsidRDefault="00D52915" w:rsidP="00D529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2975919"/>
      <w:docPartObj>
        <w:docPartGallery w:val="Page Numbers (Bottom of Page)"/>
        <w:docPartUnique/>
      </w:docPartObj>
    </w:sdtPr>
    <w:sdtContent>
      <w:p w14:paraId="77D9A142" w14:textId="71991A01" w:rsidR="00D52915" w:rsidRDefault="00D52915" w:rsidP="005826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7BDEA0" w14:textId="77777777" w:rsidR="00D52915" w:rsidRDefault="00D52915" w:rsidP="00D52915">
    <w:pPr>
      <w:pStyle w:val="Header"/>
      <w:ind w:right="360"/>
    </w:pPr>
    <w:r>
      <w:tab/>
    </w:r>
    <w:r>
      <w:t>S</w:t>
    </w:r>
    <w:r w:rsidRPr="00316D4E">
      <w:t>UMER PLUS IN</w:t>
    </w:r>
    <w:r>
      <w:t>C</w:t>
    </w:r>
  </w:p>
  <w:p w14:paraId="60187145" w14:textId="77777777" w:rsidR="00D52915" w:rsidRPr="00316D4E" w:rsidRDefault="00D52915" w:rsidP="00D52915">
    <w:pPr>
      <w:pStyle w:val="Header"/>
      <w:jc w:val="center"/>
    </w:pPr>
    <w:r w:rsidRPr="00316D4E">
      <w:rPr>
        <w:sz w:val="22"/>
        <w:szCs w:val="22"/>
      </w:rPr>
      <w:t>DYER BLVD., STE. 415 KISSIMMEE, FL 34741</w:t>
    </w:r>
  </w:p>
  <w:p w14:paraId="4AF07329" w14:textId="24BE5968" w:rsidR="00D52915" w:rsidRDefault="00D52915" w:rsidP="00D52915">
    <w:pPr>
      <w:pStyle w:val="Footer"/>
      <w:tabs>
        <w:tab w:val="clear" w:pos="4680"/>
        <w:tab w:val="clear" w:pos="9360"/>
        <w:tab w:val="left" w:pos="4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F366A" w14:textId="77777777" w:rsidR="00F416C5" w:rsidRDefault="00F416C5" w:rsidP="00D52915">
      <w:pPr>
        <w:spacing w:after="0" w:line="240" w:lineRule="auto"/>
      </w:pPr>
      <w:r>
        <w:separator/>
      </w:r>
    </w:p>
  </w:footnote>
  <w:footnote w:type="continuationSeparator" w:id="0">
    <w:p w14:paraId="7A126D16" w14:textId="77777777" w:rsidR="00F416C5" w:rsidRDefault="00F416C5" w:rsidP="00D52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4D8F" w14:textId="00F5E291" w:rsidR="00D52915" w:rsidRDefault="00D52915">
    <w:pPr>
      <w:pStyle w:val="Header"/>
    </w:pPr>
    <w:r>
      <w:rPr>
        <w:rFonts w:ascii="Times New Roman" w:eastAsia="Times New Roman" w:hAnsi="Times New Roman" w:cs="Times New Roman"/>
        <w:b/>
        <w:bCs/>
        <w:noProof/>
        <w:kern w:val="36"/>
        <w:sz w:val="48"/>
        <w:szCs w:val="48"/>
      </w:rPr>
      <w:drawing>
        <wp:anchor distT="0" distB="0" distL="114300" distR="114300" simplePos="0" relativeHeight="251659264" behindDoc="0" locked="0" layoutInCell="1" allowOverlap="1" wp14:anchorId="740185AD" wp14:editId="45001DDD">
          <wp:simplePos x="0" y="0"/>
          <wp:positionH relativeFrom="column">
            <wp:posOffset>-269823</wp:posOffset>
          </wp:positionH>
          <wp:positionV relativeFrom="paragraph">
            <wp:posOffset>-382301</wp:posOffset>
          </wp:positionV>
          <wp:extent cx="1551305" cy="1108075"/>
          <wp:effectExtent l="0" t="0" r="0" b="0"/>
          <wp:wrapSquare wrapText="bothSides"/>
          <wp:docPr id="906364254"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8032" name="Picture 1" descr="A close up of a logo&#10;&#10;AI-generated content may be incorrect."/>
                  <pic:cNvPicPr/>
                </pic:nvPicPr>
                <pic:blipFill>
                  <a:blip r:embed="rId1">
                    <a:alphaModFix amt="64000"/>
                    <a:extLst>
                      <a:ext uri="{28A0092B-C50C-407E-A947-70E740481C1C}">
                        <a14:useLocalDpi xmlns:a14="http://schemas.microsoft.com/office/drawing/2010/main" val="0"/>
                      </a:ext>
                    </a:extLst>
                  </a:blip>
                  <a:stretch>
                    <a:fillRect/>
                  </a:stretch>
                </pic:blipFill>
                <pic:spPr>
                  <a:xfrm>
                    <a:off x="0" y="0"/>
                    <a:ext cx="1551305" cy="11080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BA5"/>
    <w:multiLevelType w:val="multilevel"/>
    <w:tmpl w:val="13A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0696"/>
    <w:multiLevelType w:val="multilevel"/>
    <w:tmpl w:val="AA4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564F0"/>
    <w:multiLevelType w:val="multilevel"/>
    <w:tmpl w:val="55A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31C2B"/>
    <w:multiLevelType w:val="multilevel"/>
    <w:tmpl w:val="843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37030"/>
    <w:multiLevelType w:val="multilevel"/>
    <w:tmpl w:val="7EDA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91EEB"/>
    <w:multiLevelType w:val="multilevel"/>
    <w:tmpl w:val="976E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A5F70"/>
    <w:multiLevelType w:val="multilevel"/>
    <w:tmpl w:val="109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D565C"/>
    <w:multiLevelType w:val="multilevel"/>
    <w:tmpl w:val="AD2E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23EB8"/>
    <w:multiLevelType w:val="multilevel"/>
    <w:tmpl w:val="D5EE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5173A"/>
    <w:multiLevelType w:val="multilevel"/>
    <w:tmpl w:val="A42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D733C"/>
    <w:multiLevelType w:val="multilevel"/>
    <w:tmpl w:val="2950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139E6"/>
    <w:multiLevelType w:val="multilevel"/>
    <w:tmpl w:val="B9C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87AB2"/>
    <w:multiLevelType w:val="multilevel"/>
    <w:tmpl w:val="C7A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93891"/>
    <w:multiLevelType w:val="multilevel"/>
    <w:tmpl w:val="AA00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73D8F"/>
    <w:multiLevelType w:val="multilevel"/>
    <w:tmpl w:val="AA9A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E282F"/>
    <w:multiLevelType w:val="multilevel"/>
    <w:tmpl w:val="7F8C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53354"/>
    <w:multiLevelType w:val="multilevel"/>
    <w:tmpl w:val="AB3E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B3902"/>
    <w:multiLevelType w:val="multilevel"/>
    <w:tmpl w:val="8C60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92308"/>
    <w:multiLevelType w:val="multilevel"/>
    <w:tmpl w:val="4BF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11E33"/>
    <w:multiLevelType w:val="multilevel"/>
    <w:tmpl w:val="8CFC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957E1"/>
    <w:multiLevelType w:val="multilevel"/>
    <w:tmpl w:val="5C6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C1A54"/>
    <w:multiLevelType w:val="multilevel"/>
    <w:tmpl w:val="7650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3E5BCC"/>
    <w:multiLevelType w:val="multilevel"/>
    <w:tmpl w:val="BC4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8387B"/>
    <w:multiLevelType w:val="multilevel"/>
    <w:tmpl w:val="FF34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049668">
    <w:abstractNumId w:val="1"/>
  </w:num>
  <w:num w:numId="2" w16cid:durableId="788549496">
    <w:abstractNumId w:val="13"/>
  </w:num>
  <w:num w:numId="3" w16cid:durableId="448816517">
    <w:abstractNumId w:val="0"/>
  </w:num>
  <w:num w:numId="4" w16cid:durableId="377361914">
    <w:abstractNumId w:val="19"/>
  </w:num>
  <w:num w:numId="5" w16cid:durableId="567960221">
    <w:abstractNumId w:val="4"/>
  </w:num>
  <w:num w:numId="6" w16cid:durableId="120000475">
    <w:abstractNumId w:val="16"/>
  </w:num>
  <w:num w:numId="7" w16cid:durableId="1326397831">
    <w:abstractNumId w:val="21"/>
  </w:num>
  <w:num w:numId="8" w16cid:durableId="790902677">
    <w:abstractNumId w:val="12"/>
  </w:num>
  <w:num w:numId="9" w16cid:durableId="1288389423">
    <w:abstractNumId w:val="22"/>
  </w:num>
  <w:num w:numId="10" w16cid:durableId="720254691">
    <w:abstractNumId w:val="10"/>
  </w:num>
  <w:num w:numId="11" w16cid:durableId="1541477376">
    <w:abstractNumId w:val="18"/>
  </w:num>
  <w:num w:numId="12" w16cid:durableId="93213333">
    <w:abstractNumId w:val="23"/>
  </w:num>
  <w:num w:numId="13" w16cid:durableId="283343850">
    <w:abstractNumId w:val="20"/>
  </w:num>
  <w:num w:numId="14" w16cid:durableId="774441491">
    <w:abstractNumId w:val="5"/>
  </w:num>
  <w:num w:numId="15" w16cid:durableId="2054226160">
    <w:abstractNumId w:val="6"/>
  </w:num>
  <w:num w:numId="16" w16cid:durableId="1405641018">
    <w:abstractNumId w:val="11"/>
  </w:num>
  <w:num w:numId="17" w16cid:durableId="338191445">
    <w:abstractNumId w:val="9"/>
  </w:num>
  <w:num w:numId="18" w16cid:durableId="249630772">
    <w:abstractNumId w:val="15"/>
  </w:num>
  <w:num w:numId="19" w16cid:durableId="1640185514">
    <w:abstractNumId w:val="2"/>
  </w:num>
  <w:num w:numId="20" w16cid:durableId="980617628">
    <w:abstractNumId w:val="8"/>
  </w:num>
  <w:num w:numId="21" w16cid:durableId="61220650">
    <w:abstractNumId w:val="14"/>
  </w:num>
  <w:num w:numId="22" w16cid:durableId="17122638">
    <w:abstractNumId w:val="3"/>
  </w:num>
  <w:num w:numId="23" w16cid:durableId="1674145743">
    <w:abstractNumId w:val="17"/>
  </w:num>
  <w:num w:numId="24" w16cid:durableId="19945550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915"/>
    <w:rsid w:val="0004179A"/>
    <w:rsid w:val="001D1340"/>
    <w:rsid w:val="002517ED"/>
    <w:rsid w:val="00453EBB"/>
    <w:rsid w:val="00686100"/>
    <w:rsid w:val="00763DA3"/>
    <w:rsid w:val="008A1D8A"/>
    <w:rsid w:val="00C569E1"/>
    <w:rsid w:val="00C97B9D"/>
    <w:rsid w:val="00D52915"/>
    <w:rsid w:val="00F416C5"/>
    <w:rsid w:val="00F90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EC9DD"/>
  <w15:chartTrackingRefBased/>
  <w15:docId w15:val="{CED31194-2C67-1649-A023-86CF7977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2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2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915"/>
    <w:rPr>
      <w:rFonts w:eastAsiaTheme="majorEastAsia" w:cstheme="majorBidi"/>
      <w:color w:val="272727" w:themeColor="text1" w:themeTint="D8"/>
    </w:rPr>
  </w:style>
  <w:style w:type="paragraph" w:styleId="Title">
    <w:name w:val="Title"/>
    <w:basedOn w:val="Normal"/>
    <w:next w:val="Normal"/>
    <w:link w:val="TitleChar"/>
    <w:uiPriority w:val="10"/>
    <w:qFormat/>
    <w:rsid w:val="00D5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915"/>
    <w:pPr>
      <w:spacing w:before="160"/>
      <w:jc w:val="center"/>
    </w:pPr>
    <w:rPr>
      <w:i/>
      <w:iCs/>
      <w:color w:val="404040" w:themeColor="text1" w:themeTint="BF"/>
    </w:rPr>
  </w:style>
  <w:style w:type="character" w:customStyle="1" w:styleId="QuoteChar">
    <w:name w:val="Quote Char"/>
    <w:basedOn w:val="DefaultParagraphFont"/>
    <w:link w:val="Quote"/>
    <w:uiPriority w:val="29"/>
    <w:rsid w:val="00D52915"/>
    <w:rPr>
      <w:i/>
      <w:iCs/>
      <w:color w:val="404040" w:themeColor="text1" w:themeTint="BF"/>
    </w:rPr>
  </w:style>
  <w:style w:type="paragraph" w:styleId="ListParagraph">
    <w:name w:val="List Paragraph"/>
    <w:basedOn w:val="Normal"/>
    <w:uiPriority w:val="34"/>
    <w:qFormat/>
    <w:rsid w:val="00D52915"/>
    <w:pPr>
      <w:ind w:left="720"/>
      <w:contextualSpacing/>
    </w:pPr>
  </w:style>
  <w:style w:type="character" w:styleId="IntenseEmphasis">
    <w:name w:val="Intense Emphasis"/>
    <w:basedOn w:val="DefaultParagraphFont"/>
    <w:uiPriority w:val="21"/>
    <w:qFormat/>
    <w:rsid w:val="00D52915"/>
    <w:rPr>
      <w:i/>
      <w:iCs/>
      <w:color w:val="0F4761" w:themeColor="accent1" w:themeShade="BF"/>
    </w:rPr>
  </w:style>
  <w:style w:type="paragraph" w:styleId="IntenseQuote">
    <w:name w:val="Intense Quote"/>
    <w:basedOn w:val="Normal"/>
    <w:next w:val="Normal"/>
    <w:link w:val="IntenseQuoteChar"/>
    <w:uiPriority w:val="30"/>
    <w:qFormat/>
    <w:rsid w:val="00D52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915"/>
    <w:rPr>
      <w:i/>
      <w:iCs/>
      <w:color w:val="0F4761" w:themeColor="accent1" w:themeShade="BF"/>
    </w:rPr>
  </w:style>
  <w:style w:type="character" w:styleId="IntenseReference">
    <w:name w:val="Intense Reference"/>
    <w:basedOn w:val="DefaultParagraphFont"/>
    <w:uiPriority w:val="32"/>
    <w:qFormat/>
    <w:rsid w:val="00D52915"/>
    <w:rPr>
      <w:b/>
      <w:bCs/>
      <w:smallCaps/>
      <w:color w:val="0F4761" w:themeColor="accent1" w:themeShade="BF"/>
      <w:spacing w:val="5"/>
    </w:rPr>
  </w:style>
  <w:style w:type="character" w:styleId="Strong">
    <w:name w:val="Strong"/>
    <w:basedOn w:val="DefaultParagraphFont"/>
    <w:uiPriority w:val="22"/>
    <w:qFormat/>
    <w:rsid w:val="00D52915"/>
    <w:rPr>
      <w:b/>
      <w:bCs/>
    </w:rPr>
  </w:style>
  <w:style w:type="paragraph" w:styleId="NormalWeb">
    <w:name w:val="Normal (Web)"/>
    <w:basedOn w:val="Normal"/>
    <w:uiPriority w:val="99"/>
    <w:unhideWhenUsed/>
    <w:rsid w:val="00D5291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529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915"/>
  </w:style>
  <w:style w:type="paragraph" w:styleId="Footer">
    <w:name w:val="footer"/>
    <w:basedOn w:val="Normal"/>
    <w:link w:val="FooterChar"/>
    <w:uiPriority w:val="99"/>
    <w:unhideWhenUsed/>
    <w:rsid w:val="00D52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915"/>
  </w:style>
  <w:style w:type="character" w:styleId="PageNumber">
    <w:name w:val="page number"/>
    <w:basedOn w:val="DefaultParagraphFont"/>
    <w:uiPriority w:val="99"/>
    <w:semiHidden/>
    <w:unhideWhenUsed/>
    <w:rsid w:val="00D52915"/>
  </w:style>
  <w:style w:type="table" w:styleId="TableGrid">
    <w:name w:val="Table Grid"/>
    <w:basedOn w:val="TableNormal"/>
    <w:uiPriority w:val="39"/>
    <w:rsid w:val="00D52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529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128CB-F808-574C-B224-A6F7844E0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sumerplus@outlook.com</dc:creator>
  <cp:keywords/>
  <dc:description/>
  <cp:lastModifiedBy>sumerplus@outlook.com</cp:lastModifiedBy>
  <cp:revision>1</cp:revision>
  <dcterms:created xsi:type="dcterms:W3CDTF">2026-01-14T00:06:00Z</dcterms:created>
  <dcterms:modified xsi:type="dcterms:W3CDTF">2026-01-14T06:22:00Z</dcterms:modified>
</cp:coreProperties>
</file>