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AF" w:rsidRDefault="00E70DB3" w:rsidP="00C50CA3">
      <w:pPr>
        <w:pStyle w:val="Titre1"/>
        <w:jc w:val="center"/>
      </w:pPr>
      <w:r>
        <w:t xml:space="preserve">quentin </w:t>
      </w:r>
      <w:r w:rsidR="00355121">
        <w:t>Documentation Technique - Projet Annuel</w:t>
      </w:r>
    </w:p>
    <w:p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bookmarkStart w:id="0" w:name="_GoBack"/>
      <w:bookmarkEnd w:id="0"/>
      <w:r w:rsidR="0072565B">
        <w:t>.</w:t>
      </w:r>
      <w:r w:rsidR="0072565B">
        <w:br/>
      </w:r>
    </w:p>
    <w:p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:rsidR="002C53AF" w:rsidRDefault="00E2708B" w:rsidP="00C45F18">
      <w:pPr>
        <w:tabs>
          <w:tab w:val="left" w:pos="6880"/>
        </w:tabs>
        <w:sectPr w:rsidR="002C53AF" w:rsidSect="00E62EA6">
          <w:headerReference w:type="default" r:id="rId7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:rsidR="002C53AF" w:rsidRDefault="002C53AF" w:rsidP="00C45F18">
      <w:pPr>
        <w:tabs>
          <w:tab w:val="left" w:pos="6880"/>
        </w:tabs>
      </w:pPr>
    </w:p>
    <w:p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:rsidR="00676AB4" w:rsidRDefault="00676AB4" w:rsidP="00676AB4">
      <w:r>
        <w:t>Les contraintes techniques ont été identifiées dans le syllabus du projet annuel fournis par notre professeur Mr Sananes.</w:t>
      </w:r>
    </w:p>
    <w:p w:rsidR="008C0515" w:rsidRDefault="008C0515" w:rsidP="00676AB4"/>
    <w:p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:rsidR="008C0515" w:rsidRDefault="008C0515" w:rsidP="008C0515"/>
    <w:p w:rsidR="008C0515" w:rsidRDefault="008C0515" w:rsidP="008C0515"/>
    <w:p w:rsidR="008C0515" w:rsidRDefault="008C0515" w:rsidP="008C0515"/>
    <w:p w:rsidR="008C0515" w:rsidRDefault="00A059B1" w:rsidP="00E62EA6">
      <w:pPr>
        <w:ind w:left="-142" w:hanging="142"/>
      </w:pPr>
      <w:r>
        <w:rPr>
          <w:rFonts w:ascii="Helvetica" w:hAnsi="Helvetica" w:cs="Helvetica"/>
          <w:noProof/>
        </w:rPr>
        <w:drawing>
          <wp:inline distT="0" distB="0" distL="0" distR="0">
            <wp:extent cx="6642100" cy="632681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32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15" w:rsidRDefault="008C0515" w:rsidP="008C0515"/>
    <w:p w:rsidR="00D10BE5" w:rsidRDefault="00D10BE5" w:rsidP="008C0515"/>
    <w:p w:rsidR="00485A12" w:rsidRDefault="00485A12" w:rsidP="00485A12">
      <w:pPr>
        <w:jc w:val="center"/>
        <w:rPr>
          <w:b/>
        </w:rPr>
      </w:pPr>
    </w:p>
    <w:p w:rsidR="00485A12" w:rsidRDefault="00D10BE5" w:rsidP="00485A12">
      <w:pPr>
        <w:jc w:val="center"/>
      </w:pPr>
      <w:r w:rsidRPr="00D10BE5">
        <w:rPr>
          <w:b/>
        </w:rPr>
        <w:t>DESCRIPTION DES SCENARIOS CAS UTILISATIONS </w:t>
      </w:r>
      <w:r w:rsidR="00EA2BAF" w:rsidRPr="00D10BE5">
        <w:rPr>
          <w:b/>
        </w:rPr>
        <w:t>:</w:t>
      </w:r>
    </w:p>
    <w:p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D10BE5" w:rsidTr="00E20E70"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:rsidTr="00E20E70">
        <w:tc>
          <w:tcPr>
            <w:tcW w:w="4603" w:type="dxa"/>
          </w:tcPr>
          <w:p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:rsidR="00D10BE5" w:rsidRDefault="00D10BE5" w:rsidP="00E20E70"/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275A1F" w:rsidTr="001910EB"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:rsidTr="001910EB">
        <w:tc>
          <w:tcPr>
            <w:tcW w:w="4603" w:type="dxa"/>
          </w:tcPr>
          <w:p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:rsidR="00275A1F" w:rsidRDefault="00275A1F" w:rsidP="00C833A7"/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C833A7" w:rsidP="00C833A7">
            <w:r>
              <w:t>2) Vérifier toutes les Galaxies en BDD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:rsidTr="007E159F">
        <w:trPr>
          <w:trHeight w:val="268"/>
        </w:trPr>
        <w:tc>
          <w:tcPr>
            <w:tcW w:w="4603" w:type="dxa"/>
          </w:tcPr>
          <w:p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:rsidR="00275A1F" w:rsidRDefault="00275A1F" w:rsidP="007E159F"/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6) Vérifier le filtre en BDD</w:t>
            </w:r>
          </w:p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7) Affichage des Galaxies avec le filtre</w:t>
            </w:r>
          </w:p>
        </w:tc>
      </w:tr>
    </w:tbl>
    <w:p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B423F6" w:rsidTr="001910EB"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1910EB">
            <w:r>
              <w:t>6) Vérifier le filtre en BDD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C619DB" w:rsidTr="001910EB"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495AE7">
            <w:r>
              <w:t>2) Vérifier tous les utilisateurs en BDD.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1910EB">
            <w:r>
              <w:t>6) Vérifier le filtre en BDD</w:t>
            </w:r>
          </w:p>
        </w:tc>
      </w:tr>
      <w:tr w:rsidR="002E741E" w:rsidTr="001910EB">
        <w:trPr>
          <w:trHeight w:val="268"/>
        </w:trPr>
        <w:tc>
          <w:tcPr>
            <w:tcW w:w="4603" w:type="dxa"/>
          </w:tcPr>
          <w:p w:rsidR="002E741E" w:rsidRDefault="002E741E" w:rsidP="001910EB"/>
        </w:tc>
        <w:tc>
          <w:tcPr>
            <w:tcW w:w="4603" w:type="dxa"/>
          </w:tcPr>
          <w:p w:rsidR="002E741E" w:rsidRDefault="002E741E" w:rsidP="001910EB">
            <w:r>
              <w:t>7) Affichage des Utilisateurs avec le filtre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50B30" w:rsidTr="001910EB">
        <w:trPr>
          <w:trHeight w:val="268"/>
        </w:trPr>
        <w:tc>
          <w:tcPr>
            <w:tcW w:w="4603" w:type="dxa"/>
          </w:tcPr>
          <w:p w:rsidR="00C50B30" w:rsidRDefault="00C50B30" w:rsidP="001910EB"/>
        </w:tc>
        <w:tc>
          <w:tcPr>
            <w:tcW w:w="4603" w:type="dxa"/>
          </w:tcPr>
          <w:p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:rsidTr="001910EB">
        <w:trPr>
          <w:trHeight w:val="268"/>
        </w:trPr>
        <w:tc>
          <w:tcPr>
            <w:tcW w:w="4603" w:type="dxa"/>
          </w:tcPr>
          <w:p w:rsidR="00B81D75" w:rsidRDefault="00B81D75" w:rsidP="001910EB"/>
        </w:tc>
        <w:tc>
          <w:tcPr>
            <w:tcW w:w="4603" w:type="dxa"/>
          </w:tcPr>
          <w:p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/>
        </w:tc>
        <w:tc>
          <w:tcPr>
            <w:tcW w:w="4603" w:type="dxa"/>
          </w:tcPr>
          <w:p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:rsidR="001013CD" w:rsidRDefault="001013CD" w:rsidP="00271476"/>
    <w:p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8"/>
        <w:gridCol w:w="432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4"/>
        <w:gridCol w:w="405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  <w:gridCol w:w="4183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4854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:rsidR="00271476" w:rsidRDefault="00271476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F23B74" w:rsidRDefault="00F23B74" w:rsidP="00C7033B"/>
    <w:p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lastRenderedPageBreak/>
        <w:t>CAS : « </w:t>
      </w:r>
      <w:r>
        <w:rPr>
          <w:rFonts w:ascii="Calibri" w:hAnsi="Calibri" w:cs="Times New Roman"/>
          <w:b/>
          <w:bCs/>
          <w:color w:val="1F3864"/>
        </w:rPr>
        <w:t xml:space="preserve">Améliorer une usine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4854"/>
      </w:tblGrid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r>
              <w:rPr>
                <w:rFonts w:ascii="Times" w:eastAsia="Times New Roman" w:hAnsi="Times" w:cs="Times New Roman"/>
                <w:sz w:val="1"/>
                <w:szCs w:val="20"/>
              </w:rPr>
              <w:t>1) Accéder à la page usine</w:t>
            </w:r>
          </w:p>
          <w:p w:rsidR="001451DA" w:rsidRDefault="001451DA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  <w:p w:rsidR="00C2531F" w:rsidRPr="001451DA" w:rsidRDefault="00C2531F" w:rsidP="001451DA">
            <w:pPr>
              <w:jc w:val="center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C2531F" w:rsidRPr="00271476" w:rsidTr="001451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2531F" w:rsidRPr="00271476" w:rsidRDefault="00C2531F" w:rsidP="001451D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C2531F" w:rsidRDefault="00C2531F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:rsidR="00676AB4" w:rsidRDefault="00676AB4" w:rsidP="00676AB4"/>
    <w:p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nom,,</w:t>
      </w:r>
      <w:r w:rsidRPr="0072552D">
        <w:rPr>
          <w:sz w:val="20"/>
          <w:szCs w:val="20"/>
        </w:rPr>
        <w:t>int tempsAttentes, int niveau,  int nbRessourcesA, int RessourcesB)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r w:rsidRPr="0072552D">
        <w:rPr>
          <w:sz w:val="20"/>
          <w:szCs w:val="20"/>
        </w:rPr>
        <w:t>int tempsAttentes, int niveau,  int nbRessourcesA, int RessourcesB, int nbRessourceC)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r w:rsidR="00907E16" w:rsidRPr="00DB0D35">
        <w:rPr>
          <w:sz w:val="22"/>
        </w:rPr>
        <w:lastRenderedPageBreak/>
        <w:t>uneUsine</w:t>
      </w:r>
      <w:r w:rsidR="0072552D" w:rsidRPr="00DB0D35">
        <w:rPr>
          <w:sz w:val="22"/>
        </w:rPr>
        <w:t>.getTempsAttentes = uneUsine.getNiveau()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r w:rsidR="00652E33" w:rsidRPr="00DB0D35">
        <w:rPr>
          <w:sz w:val="22"/>
        </w:rPr>
        <w:t>uneUsine.getNiveau()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:rsidR="00F508C7" w:rsidRDefault="00F508C7" w:rsidP="00676AB4">
      <w:pPr>
        <w:rPr>
          <w:color w:val="984806" w:themeColor="accent6" w:themeShade="80"/>
        </w:rPr>
      </w:pPr>
    </w:p>
    <w:p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  <w:t>Boolean faisable = false ;</w:t>
      </w:r>
    </w:p>
    <w:p w:rsidR="00F508C7" w:rsidRDefault="00F508C7" w:rsidP="00676AB4">
      <w:r w:rsidRPr="00A53471">
        <w:rPr>
          <w:sz w:val="22"/>
        </w:rPr>
        <w:tab/>
        <w:t>int Compteur = uneUsine.getTempsAttentes()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>faisable = true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 faisable == true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ALORS uneUsine.upNiveau()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>SINON alert(« Une amélioration n’est pas terminée »  ) ;</w:t>
      </w:r>
      <w:r w:rsidR="00FC782A">
        <w:br/>
      </w:r>
    </w:p>
    <w:p w:rsidR="00A07B7B" w:rsidRDefault="00A07B7B" w:rsidP="00676AB4"/>
    <w:p w:rsidR="00E92914" w:rsidRDefault="00E92914" w:rsidP="00676AB4"/>
    <w:p w:rsidR="00E92914" w:rsidRDefault="00E92914" w:rsidP="00676AB4"/>
    <w:p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@param : une liste de vaisseaux</w:t>
      </w:r>
      <w:r w:rsidR="00FD6FF5" w:rsidRPr="00FD6FF5">
        <w:rPr>
          <w:color w:val="008000"/>
          <w:sz w:val="22"/>
          <w:szCs w:val="28"/>
        </w:rPr>
        <w:br/>
        <w:t>// @param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uneListeV</w:t>
      </w:r>
      <w:r w:rsidR="0065129C">
        <w:rPr>
          <w:sz w:val="22"/>
          <w:szCs w:val="28"/>
        </w:rPr>
        <w:t>, Joueur unJoueur</w:t>
      </w:r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estAttaquer (List&lt;Vaisseaux&gt; uneListeV, Joueur unJoueur) ;</w:t>
      </w:r>
    </w:p>
    <w:p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>// Dans cette méthode un calcul décrit la valeurd’attaque de chaques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  <w:t>int valeurAttaqueFinal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foreach(Vaisseaux unVaisseau as uneListeV){</w:t>
      </w:r>
    </w:p>
    <w:p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  <w:t>valeurAttaqueFinal += unVaisseau.getValeurAttaque()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r w:rsidR="00156FF3" w:rsidRPr="00351096">
        <w:rPr>
          <w:sz w:val="22"/>
          <w:szCs w:val="28"/>
        </w:rPr>
        <w:t>int 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  <w:t>foreach(Vaisseaux unVaisseau</w:t>
      </w:r>
      <w:r w:rsidR="0036709B">
        <w:rPr>
          <w:sz w:val="22"/>
          <w:szCs w:val="28"/>
        </w:rPr>
        <w:t>Défensif</w:t>
      </w:r>
      <w:r w:rsidR="00156FF3" w:rsidRPr="00351096">
        <w:rPr>
          <w:sz w:val="22"/>
          <w:szCs w:val="28"/>
        </w:rPr>
        <w:t xml:space="preserve"> as uneListeV){</w:t>
      </w:r>
    </w:p>
    <w:p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tab/>
      </w:r>
      <w:r w:rsidRPr="00351096">
        <w:rPr>
          <w:sz w:val="22"/>
          <w:szCs w:val="28"/>
        </w:rPr>
        <w:tab/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 += 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:rsidR="00E60677" w:rsidRDefault="00E60677" w:rsidP="00E60677">
      <w:pPr>
        <w:rPr>
          <w:color w:val="008000"/>
        </w:rPr>
      </w:pPr>
    </w:p>
    <w:p w:rsidR="00E60677" w:rsidRDefault="00D04F75" w:rsidP="00E60677">
      <w:pPr>
        <w:pStyle w:val="Titre2"/>
        <w:ind w:left="360"/>
      </w:pPr>
      <w:r>
        <w:lastRenderedPageBreak/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:rsidR="00A9267E" w:rsidRDefault="00A0049E" w:rsidP="00A9267E">
      <w:r>
        <w:rPr>
          <w:noProof/>
        </w:rPr>
        <w:drawing>
          <wp:inline distT="0" distB="0" distL="0" distR="0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7E" w:rsidRDefault="00A9267E" w:rsidP="00A9267E"/>
    <w:p w:rsidR="00A9267E" w:rsidRDefault="00A9267E" w:rsidP="00A9267E">
      <w:pPr>
        <w:pStyle w:val="Titre2"/>
      </w:pPr>
      <w:r>
        <w:lastRenderedPageBreak/>
        <w:t>6. Requêtes en base de données</w:t>
      </w:r>
    </w:p>
    <w:p w:rsidR="00A9267E" w:rsidRDefault="00A9267E" w:rsidP="00A9267E">
      <w:pPr>
        <w:rPr>
          <w:b/>
          <w:color w:val="943634" w:themeColor="accent2" w:themeShade="BF"/>
        </w:rPr>
      </w:pPr>
      <w:r>
        <w:br/>
      </w:r>
      <w:r w:rsidRPr="00EB6A62">
        <w:rPr>
          <w:b/>
          <w:color w:val="008000"/>
        </w:rPr>
        <w:t>Prérequis :</w:t>
      </w:r>
      <w:r w:rsidRPr="00EB6A62">
        <w:rPr>
          <w:b/>
          <w:color w:val="008000"/>
        </w:rPr>
        <w:br/>
      </w:r>
      <w:r>
        <w:t xml:space="preserve"> Créer une connexion en base de données MySql</w:t>
      </w:r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C9D" w:rsidRDefault="00100C9D" w:rsidP="00355121">
      <w:r>
        <w:separator/>
      </w:r>
    </w:p>
  </w:endnote>
  <w:endnote w:type="continuationSeparator" w:id="0">
    <w:p w:rsidR="00100C9D" w:rsidRDefault="00100C9D" w:rsidP="0035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C9D" w:rsidRDefault="00100C9D" w:rsidP="00355121">
      <w:r>
        <w:separator/>
      </w:r>
    </w:p>
  </w:footnote>
  <w:footnote w:type="continuationSeparator" w:id="0">
    <w:p w:rsidR="00100C9D" w:rsidRDefault="00100C9D" w:rsidP="00355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3"/>
      <w:gridCol w:w="4603"/>
    </w:tblGrid>
    <w:tr w:rsidR="001451DA" w:rsidTr="00D77A22">
      <w:tc>
        <w:tcPr>
          <w:tcW w:w="4603" w:type="dxa"/>
        </w:tcPr>
        <w:p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>RENE Walson</w:t>
          </w:r>
          <w:r>
            <w:br/>
            <w:t>KLARMAN Ivan</w:t>
          </w:r>
        </w:p>
      </w:tc>
    </w:tr>
  </w:tbl>
  <w:p w:rsidR="001451DA" w:rsidRDefault="001451D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C9D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A4B1A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C6650"/>
    <w:rsid w:val="009F7CC6"/>
    <w:rsid w:val="00A0049E"/>
    <w:rsid w:val="00A059B1"/>
    <w:rsid w:val="00A07B7B"/>
    <w:rsid w:val="00A2653F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4F75"/>
    <w:rsid w:val="00D10BE5"/>
    <w:rsid w:val="00D238DC"/>
    <w:rsid w:val="00D2631F"/>
    <w:rsid w:val="00D31579"/>
    <w:rsid w:val="00D5390D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0DB3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6FF5"/>
    <w:rsid w:val="00FF168F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0"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dutableau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1665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Quentin</cp:lastModifiedBy>
  <cp:revision>275</cp:revision>
  <dcterms:created xsi:type="dcterms:W3CDTF">2014-04-30T12:16:00Z</dcterms:created>
  <dcterms:modified xsi:type="dcterms:W3CDTF">2014-05-23T16:07:00Z</dcterms:modified>
</cp:coreProperties>
</file>