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Cascade Forge — All-Hands Meeting Minutes</w:t>
      </w:r>
    </w:p>
    <w:p>
      <w:r>
        <w:t>Date: 12 February 2026</w:t>
      </w:r>
    </w:p>
    <w:p>
      <w:r>
        <w:t>Location: Vancouver HQ, Boardroom A (with remote dial-in)</w:t>
      </w:r>
    </w:p>
    <w:p>
      <w:r>
        <w:t>Attendees: Maya Chen (CEO), Daniel Park (CTO), Priya Iyer (CFO), Tomás Alvarado (VP Engineering), Hannah Brookes (VP Product).</w:t>
      </w:r>
    </w:p>
    <w:p>
      <w:pPr>
        <w:pStyle w:val="Heading1"/>
      </w:pPr>
      <w:r>
        <w:t>Agenda</w:t>
      </w:r>
    </w:p>
    <w:p>
      <w:pPr>
        <w:pStyle w:val="ListNumber"/>
      </w:pPr>
      <w:r>
        <w:t>1. Q1 2026 progress check.</w:t>
      </w:r>
    </w:p>
    <w:p>
      <w:pPr>
        <w:pStyle w:val="ListNumber"/>
      </w:pPr>
      <w:r>
        <w:t>2. Hiring plan update.</w:t>
      </w:r>
    </w:p>
    <w:p>
      <w:pPr>
        <w:pStyle w:val="ListNumber"/>
      </w:pPr>
      <w:r>
        <w:t>3. Legacy CLI sunset proposal.</w:t>
      </w:r>
    </w:p>
    <w:p>
      <w:pPr>
        <w:pStyle w:val="ListNumber"/>
      </w:pPr>
      <w:r>
        <w:t>4. Berlin office expansion budget.</w:t>
      </w:r>
    </w:p>
    <w:p>
      <w:pPr>
        <w:pStyle w:val="ListNumber"/>
      </w:pPr>
      <w:r>
        <w:t>5. Open discussion.</w:t>
      </w:r>
    </w:p>
    <w:p>
      <w:pPr>
        <w:pStyle w:val="Heading1"/>
      </w:pPr>
      <w:r>
        <w:t>Decisions</w:t>
      </w:r>
    </w:p>
    <w:p>
      <w:pPr>
        <w:pStyle w:val="ListBullet"/>
      </w:pPr>
      <w:r>
        <w:t>Approved hiring 6 additional engineers in Q2 2026, split as 4 backend engineers on the PulseDB ingest team and 2 frontend engineers on the Helix CI web UI team.</w:t>
      </w:r>
    </w:p>
    <w:p>
      <w:pPr>
        <w:pStyle w:val="ListBullet"/>
      </w:pPr>
      <w:r>
        <w:t>Decided to sunset the legacy Node.js CLI by 30 June 2026. The new Rust CLI ships as a static binary in May 2026. Customer comms will go out the week of 24 February 2026.</w:t>
      </w:r>
    </w:p>
    <w:p>
      <w:pPr>
        <w:pStyle w:val="ListBullet"/>
      </w:pPr>
      <w:r>
        <w:t>Allocated USD 400,000 for the Berlin office expansion, covering a second floor lease, furniture, and one new conference room. Work to be completed by end of Q3 2026.</w:t>
      </w:r>
    </w:p>
    <w:p>
      <w:pPr>
        <w:pStyle w:val="ListBullet"/>
      </w:pPr>
      <w:r>
        <w:t>Deferred a decision on opening a fourth office in São Paulo until the Q2 2026 board review.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Tomás Alvarado</w:t>
            </w:r>
          </w:p>
        </w:tc>
        <w:tc>
          <w:tcPr>
            <w:tcW w:type="dxa" w:w="2880"/>
          </w:tcPr>
          <w:p>
            <w:r>
              <w:t>Draft customer-facing migration guide for the new CLI.</w:t>
            </w:r>
          </w:p>
        </w:tc>
        <w:tc>
          <w:tcPr>
            <w:tcW w:type="dxa" w:w="2880"/>
          </w:tcPr>
          <w:p>
            <w:r>
              <w:t>28 February 2026</w:t>
            </w:r>
          </w:p>
        </w:tc>
      </w:tr>
      <w:tr>
        <w:tc>
          <w:tcPr>
            <w:tcW w:type="dxa" w:w="2880"/>
          </w:tcPr>
          <w:p>
            <w:r>
              <w:t>Sofia Reyes</w:t>
            </w:r>
          </w:p>
        </w:tc>
        <w:tc>
          <w:tcPr>
            <w:tcW w:type="dxa" w:w="2880"/>
          </w:tcPr>
          <w:p>
            <w:r>
              <w:t>Open the 6 Q2 engineering requisitions in the ATS.</w:t>
            </w:r>
          </w:p>
        </w:tc>
        <w:tc>
          <w:tcPr>
            <w:tcW w:type="dxa" w:w="2880"/>
          </w:tcPr>
          <w:p>
            <w:r>
              <w:t>20 February 2026</w:t>
            </w:r>
          </w:p>
        </w:tc>
      </w:tr>
      <w:tr>
        <w:tc>
          <w:tcPr>
            <w:tcW w:type="dxa" w:w="2880"/>
          </w:tcPr>
          <w:p>
            <w:r>
              <w:t>Priya Iyer</w:t>
            </w:r>
          </w:p>
        </w:tc>
        <w:tc>
          <w:tcPr>
            <w:tcW w:type="dxa" w:w="2880"/>
          </w:tcPr>
          <w:p>
            <w:r>
              <w:t>Wire the Berlin expansion budget to the Berlin entity.</w:t>
            </w:r>
          </w:p>
        </w:tc>
        <w:tc>
          <w:tcPr>
            <w:tcW w:type="dxa" w:w="2880"/>
          </w:tcPr>
          <w:p>
            <w:r>
              <w:t>15 March 2026</w:t>
            </w:r>
          </w:p>
        </w:tc>
      </w:tr>
      <w:tr>
        <w:tc>
          <w:tcPr>
            <w:tcW w:type="dxa" w:w="2880"/>
          </w:tcPr>
          <w:p>
            <w:r>
              <w:t>Hannah Brookes</w:t>
            </w:r>
          </w:p>
        </w:tc>
        <w:tc>
          <w:tcPr>
            <w:tcW w:type="dxa" w:w="2880"/>
          </w:tcPr>
          <w:p>
            <w:r>
              <w:t>Publish internal FAQ on the CLI sunset timeline.</w:t>
            </w:r>
          </w:p>
        </w:tc>
        <w:tc>
          <w:tcPr>
            <w:tcW w:type="dxa" w:w="2880"/>
          </w:tcPr>
          <w:p>
            <w:r>
              <w:t>25 February 2026</w:t>
            </w:r>
          </w:p>
        </w:tc>
      </w:tr>
      <w:tr>
        <w:tc>
          <w:tcPr>
            <w:tcW w:type="dxa" w:w="2880"/>
          </w:tcPr>
          <w:p>
            <w:r>
              <w:t>Daniel Park</w:t>
            </w:r>
          </w:p>
        </w:tc>
        <w:tc>
          <w:tcPr>
            <w:tcW w:type="dxa" w:w="2880"/>
          </w:tcPr>
          <w:p>
            <w:r>
              <w:t>Schedule the Q1 2026 architecture review for the platform team.</w:t>
            </w:r>
          </w:p>
        </w:tc>
        <w:tc>
          <w:tcPr>
            <w:tcW w:type="dxa" w:w="2880"/>
          </w:tcPr>
          <w:p>
            <w:r>
              <w:t>10 March 2026</w:t>
            </w:r>
          </w:p>
        </w:tc>
      </w:tr>
    </w:tbl>
    <w:p>
      <w:pPr>
        <w:pStyle w:val="Heading1"/>
      </w:pPr>
      <w:r>
        <w:t>Next meeting</w:t>
      </w:r>
    </w:p>
    <w:p>
      <w:r>
        <w:t>11 March 2026, 10:00 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