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eastAsia="SimHei"/>
          <w:b/>
          <w:bCs/>
          <w:color w:val="162032"/>
          <w:sz w:val="52"/>
          <w:szCs w:val="52"/>
        </w:rPr>
        <w:t xml:space="preserve">牌机类型游戏热更新</w:t>
      </w:r>
    </w:p>
    <w:p>
      <w:pPr>
        <w:spacing w:after="600"/>
        <w:jc w:val="center"/>
      </w:pPr>
      <w:r>
        <w:rPr>
          <w:rFonts w:ascii="Times New Roman" w:eastAsia="SimHei"/>
          <w:b/>
          <w:bCs/>
          <w:color w:val="162032"/>
          <w:sz w:val="44"/>
          <w:szCs w:val="44"/>
        </w:rPr>
        <w:t xml:space="preserve">服务端验证清单</w:t>
      </w:r>
    </w:p>
    <w:p>
      <w:pPr>
        <w:spacing w:after="100"/>
        <w:jc w:val="center"/>
      </w:pPr>
      <w:r>
        <w:rPr>
          <w:rFonts w:ascii="Times New Roman" w:eastAsia="SimSun"/>
          <w:color w:val="5B6B7D"/>
          <w:sz w:val="22"/>
          <w:szCs w:val="22"/>
        </w:rPr>
        <w:t xml:space="preserve">文档版本：v1.0</w:t>
      </w:r>
    </w:p>
    <w:p>
      <w:pPr>
        <w:spacing w:after="100"/>
        <w:jc w:val="center"/>
      </w:pPr>
      <w:r>
        <w:rPr>
          <w:rFonts w:ascii="Times New Roman" w:eastAsia="SimSun"/>
          <w:color w:val="5B6B7D"/>
          <w:sz w:val="22"/>
          <w:szCs w:val="22"/>
        </w:rPr>
        <w:t xml:space="preserve">发布日期：2026年8月</w:t>
      </w:r>
    </w:p>
    <w:p>
      <w:pPr>
        <w:spacing w:after="100"/>
        <w:jc w:val="center"/>
      </w:pPr>
      <w:r>
        <w:rPr>
          <w:rFonts w:ascii="Times New Roman" w:eastAsia="SimSun"/>
          <w:color w:val="5B6B7D"/>
          <w:sz w:val="22"/>
          <w:szCs w:val="22"/>
        </w:rPr>
        <w:t xml:space="preserve">适用范围：服务端开发团队 / 测试团队</w:t>
      </w:r>
    </w:p>
    <w:p>
      <w:r>
        <w:br w:type="pag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1. 背景说明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牌机类型游戏（EGameType.Card = 1）的参数配置存储在多张表中：roomtableconfig、roomtableconfig_card、paracard、cardpayoutprofile、pararoom。后台保存后，通过 Windows Named Pipes 向中心服发送热更新指令，触发服务端重新加载参数。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本文档列出后台发送的所有热更新指令及其协议格式，供服务端团队逐条验证是否已完整实现热更新。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2. 牌机热更新协议总览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牌机游戏共使用 3 种热更新指令，均通过后台与中心服的 Named Pipe 连接发送：</w:t>
      </w:r>
    </w:p>
    <w:p>
      <w:pPr>
        <w:spacing w:line="312"/>
      </w:pPr>
    </w:p>
    <w:tbl>
      <w:tblPr>
        <w:tblW w:type="pct" w:w="100%"/>
        <w:tblBorders>
          <w:top w:val="single" w:color="9AA6B2" w:sz="2"/>
          <w:left w:val="single" w:color="D0D0D0" w:sz="1"/>
          <w:bottom w:val="single" w:color="9AA6B2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指令</w:t>
            </w:r>
          </w:p>
        </w:tc>
        <w:tc>
          <w:tcPr>
            <w:tcW w:type="pct" w:w="1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1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协议类型</w:t>
            </w:r>
          </w:p>
        </w:tc>
        <w:tc>
          <w:tcPr>
            <w:tcW w:type="pct" w:w="36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pct" w:w="1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发送时机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RP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Room Reload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文本（管道字符串）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全量重新加载该游戏的所有参数（从数据库读取）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每次保存桌台配置后必发</w:t>
            </w:r>
          </w:p>
        </w:tc>
      </w:tr>
      <w:tr>
        <w:trPr>
          <w:cantSplit/>
        </w:trPr>
        <w:tc>
          <w:tcPr>
            <w:tcW w:type="pct" w:w="1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PA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Desk Parameters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文本（管道字符串）</w:t>
            </w:r>
          </w:p>
        </w:tc>
        <w:tc>
          <w:tcPr>
            <w:tcW w:type="pct" w:w="36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实时更新单桌难度参数（DIF + HYPE_TYPE）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RP 成功后发送；或单独保存难度时发送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TC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Table Config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二进制（管道字节流）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热更新桌台基础配置（桌名、启用、超时、座位等）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RP 成功后发送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3. RP 指令验证（房间重载）</w:t>
      </w:r>
    </w:p>
    <w:p>
      <w:pPr>
        <w:pStyle w:val="Heading2"/>
        <w:spacing w:after="120" w:before="280" w:line="312"/>
      </w:pPr>
      <w:r>
        <w:rPr>
          <w:rFonts w:ascii="Times New Roman" w:eastAsia="SimHei"/>
          <w:b/>
          <w:bCs/>
          <w:color w:val="162032"/>
          <w:sz w:val="28"/>
          <w:szCs w:val="28"/>
        </w:rPr>
        <w:t xml:space="preserve">3.1 协议格式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发送：</w:t>
      </w:r>
    </w:p>
    <w:p>
      <w:pPr>
        <w:spacing w:after="60" w:before="60" w:line="312"/>
        <w:ind w:left="480"/>
      </w:pPr>
      <w:r>
        <w:rPr>
          <w:rFonts w:ascii="Consolas" w:eastAsia="SimSun"/>
          <w:color w:val="162032"/>
          <w:sz w:val="20"/>
          <w:szCs w:val="20"/>
        </w:rPr>
        <w:t xml:space="preserve">RP{gameId}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示例：</w:t>
      </w:r>
    </w:p>
    <w:p>
      <w:pPr>
        <w:spacing w:after="60" w:before="60" w:line="312"/>
        <w:ind w:left="480"/>
      </w:pPr>
      <w:r>
        <w:rPr>
          <w:rFonts w:ascii="Consolas" w:eastAsia="SimSun"/>
          <w:color w:val="162032"/>
          <w:sz w:val="20"/>
          <w:szCs w:val="20"/>
        </w:rPr>
        <w:t xml:space="preserve">RP1    // 重载 gameId=1 的牌机游戏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字符串以 '\0' 结尾。服务端应回复 MsgDefine.config 中定义的状态码：</w:t>
      </w:r>
    </w:p>
    <w:p>
      <w:pPr>
        <w:spacing w:after="60" w:before="60" w:line="312"/>
        <w:ind w:left="480"/>
      </w:pPr>
      <w:r>
        <w:rPr>
          <w:rFonts w:ascii="Consolas" w:eastAsia="SimSun"/>
          <w:color w:val="162032"/>
          <w:sz w:val="20"/>
          <w:szCs w:val="20"/>
        </w:rPr>
        <w:t xml:space="preserve">RPOK   // 成功，对应值=“房间设定成功。”</w:t>
      </w:r>
    </w:p>
    <w:p>
      <w:pPr>
        <w:spacing w:after="60" w:before="60" w:line="312"/>
        <w:ind w:left="480"/>
      </w:pPr>
      <w:r>
        <w:rPr>
          <w:rFonts w:ascii="Consolas" w:eastAsia="SimSun"/>
          <w:color w:val="162032"/>
          <w:sz w:val="20"/>
          <w:szCs w:val="20"/>
        </w:rPr>
        <w:t xml:space="preserve">RP其他  // 失败，返回对应错误码</w:t>
      </w:r>
    </w:p>
    <w:p>
      <w:pPr>
        <w:pStyle w:val="Heading2"/>
        <w:spacing w:after="120" w:before="280" w:line="312"/>
      </w:pPr>
      <w:r>
        <w:rPr>
          <w:rFonts w:ascii="Times New Roman" w:eastAsia="SimHei"/>
          <w:b/>
          <w:bCs/>
          <w:color w:val="162032"/>
          <w:sz w:val="28"/>
          <w:szCs w:val="28"/>
        </w:rPr>
        <w:t xml:space="preserve">3.2 服务端处理要求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RP 指令是牌机热更新的核心。服务端收到 RP 后必须：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从数据库重新读取 paragame.ROOM_MAX（牌机恒为 1）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按 ROOM_MAX 循环读取 pararoom base 行（ID = gameId * 1000），获取 NUM = 桌台数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按 NUM 循环读取 paracard[0..N-1]（ID = gameId * 1000 + i）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读取 roomtableconfig 中该游戏的所有桌台配置（桌名、启用、限红、座位等）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读取 roomtableconfig_card 中该游戏的牌机专属参数（ExCoin、ScoreSwitch、GameMo、MaxBetUnits）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读取 cardpayoutprofile 中该游戏每张桌的牌型概率和启用状态（HandType 0~12 + 鬼牌 201/202/203）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将所有参数重新下发给子游戏服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回复 RPOK（成功）或错误码（失败）</w:t>
      </w:r>
    </w:p>
    <w:p>
      <w:pPr>
        <w:spacing w:line="312"/>
        <w:ind w:left="480"/>
      </w:pPr>
      <w:r>
        <w:rPr>
          <w:rFonts w:ascii="Times New Roman" w:eastAsia="SimSun"/>
          <w:b/>
          <w:bCs/>
          <w:color w:val="5B6B7D"/>
          <w:sz w:val="22"/>
          <w:szCs w:val="22"/>
        </w:rPr>
        <w:t xml:space="preserve">注：</w:t>
      </w:r>
      <w:r>
        <w:rPr>
          <w:rFonts w:ascii="Times New Roman" w:eastAsia="SimSun"/>
          <w:color w:val="5B6B7D"/>
          <w:sz w:val="22"/>
          <w:szCs w:val="22"/>
        </w:rPr>
        <w:t xml:space="preserve">关键：后台在发 RP 之前已执行 SyncRoomMaxToRoomCount，确保 ROOM_MAX 为当前桌台数。服务端不应依赖缓存中的 ROOM_MAX。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4. PA 指令验证（机台难度）</w:t>
      </w:r>
    </w:p>
    <w:p>
      <w:pPr>
        <w:pStyle w:val="Heading2"/>
        <w:spacing w:after="120" w:before="280" w:line="312"/>
      </w:pPr>
      <w:r>
        <w:rPr>
          <w:rFonts w:ascii="Times New Roman" w:eastAsia="SimHei"/>
          <w:b/>
          <w:bCs/>
          <w:color w:val="162032"/>
          <w:sz w:val="28"/>
          <w:szCs w:val="28"/>
        </w:rPr>
        <w:t xml:space="preserve">4.1 协议格式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发送：</w:t>
      </w:r>
    </w:p>
    <w:p>
      <w:pPr>
        <w:spacing w:after="60" w:before="60" w:line="312"/>
        <w:ind w:left="480"/>
      </w:pPr>
      <w:r>
        <w:rPr>
          <w:rFonts w:ascii="Consolas" w:eastAsia="SimSun"/>
          <w:color w:val="162032"/>
          <w:sz w:val="20"/>
          <w:szCs w:val="20"/>
        </w:rPr>
        <w:t xml:space="preserve">PA{gameId:2位}{tableIndex:3位}{DIF:16位}{HYPE_TYPE}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示例：</w:t>
      </w:r>
    </w:p>
    <w:p>
      <w:pPr>
        <w:spacing w:after="60" w:before="60" w:line="312"/>
        <w:ind w:left="480"/>
      </w:pPr>
      <w:r>
        <w:rPr>
          <w:rFonts w:ascii="Consolas" w:eastAsia="SimSun"/>
          <w:color w:val="162032"/>
          <w:sz w:val="20"/>
          <w:szCs w:val="20"/>
        </w:rPr>
        <w:t xml:space="preserve">PA0100012345566778800   // gameId=1, tableIndex=0, DIF=123455667788, HYPE_TYPE=0</w:t>
      </w:r>
    </w:p>
    <w:p>
      <w:pPr>
        <w:spacing w:line="312"/>
      </w:pPr>
      <w:r>
        <w:rPr>
          <w:rFonts w:ascii="Times New Roman" w:eastAsia="SimSun"/>
          <w:color w:val="000000"/>
          <w:sz w:val="24"/>
          <w:szCs w:val="24"/>
        </w:rPr>
        <w:t xml:space="preserve">各字段说明：</w:t>
      </w:r>
    </w:p>
    <w:tbl>
      <w:tblPr>
        <w:tblW w:type="pct" w:w="100%"/>
        <w:tblBorders>
          <w:top w:val="single" w:color="9AA6B2" w:sz="2"/>
          <w:left w:val="single" w:color="D0D0D0" w:sz="1"/>
          <w:bottom w:val="single" w:color="9AA6B2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25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长度</w:t>
            </w:r>
          </w:p>
        </w:tc>
        <w:tc>
          <w:tcPr>
            <w:tcW w:type="pct" w:w="55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gameId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2 位，不足前缀补零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游戏 ID，如 01、12</w:t>
            </w:r>
          </w:p>
        </w:tc>
      </w:tr>
      <w:tr>
        <w:trPr>
          <w:cantSplit/>
        </w:trPr>
        <w:tc>
          <w:tcPr>
            <w:tcW w:type="pct" w:w="2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tableIndex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3 位，不足前缀补零</w:t>
            </w:r>
          </w:p>
        </w:tc>
        <w:tc>
          <w:tcPr>
            <w:tcW w:type="pct" w:w="55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桌台索引，从 0 开始，如 000、001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DIF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固定 16 位数字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牌机难度字符串，如 1234556677880000</w:t>
            </w:r>
          </w:p>
        </w:tc>
      </w:tr>
      <w:tr>
        <w:trPr>
          <w:cantSplit/>
        </w:trPr>
        <w:tc>
          <w:tcPr>
            <w:tcW w:type="pct" w:w="2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HYPE_TYPE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变长，整数</w:t>
            </w:r>
          </w:p>
        </w:tc>
        <w:tc>
          <w:tcPr>
            <w:tcW w:type="pct" w:w="55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炒场类型，如 0、1、2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Times New Roman" w:eastAsia="SimHei"/>
          <w:b/>
          <w:bCs/>
          <w:color w:val="162032"/>
          <w:sz w:val="28"/>
          <w:szCs w:val="28"/>
        </w:rPr>
        <w:t xml:space="preserve">4.2 服务端处理要求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PA 是实时热更新指令，不等待 RP 全量重载。服务端必须：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解析字符串，抽取 gameId、tableIndex、DIF、HYPE_TYPE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通过 SetTablePara 将难度参数下发给对应子游戏服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子游戏服调用 AlgDifSet 即时生效（不等待重启）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回复 PAOK（成功）或 PAER（失败）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对于牌机，SetTablePara 应同步写回 paracard 表（确保 RP 重载时一致）</w:t>
      </w:r>
    </w:p>
    <w:p>
      <w:pPr>
        <w:spacing w:line="312"/>
        <w:ind w:left="480"/>
      </w:pPr>
      <w:r>
        <w:rPr>
          <w:rFonts w:ascii="Times New Roman" w:eastAsia="SimSun"/>
          <w:b/>
          <w:bCs/>
          <w:color w:val="5B6B7D"/>
          <w:sz w:val="22"/>
          <w:szCs w:val="22"/>
        </w:rPr>
        <w:t xml:space="preserve">注：</w:t>
      </w:r>
      <w:r>
        <w:rPr>
          <w:rFonts w:ascii="Times New Roman" w:eastAsia="SimSun"/>
          <w:color w:val="5B6B7D"/>
          <w:sz w:val="22"/>
          <w:szCs w:val="22"/>
        </w:rPr>
        <w:t xml:space="preserve">DIF 字段必须恰好 16 位数字，后台已校验，服务端不必再校验但应能容错处理。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5. TC 指令验证（桌台配置）</w:t>
      </w:r>
    </w:p>
    <w:p>
      <w:pPr>
        <w:pStyle w:val="Heading2"/>
        <w:spacing w:after="120" w:before="280" w:line="312"/>
      </w:pPr>
      <w:r>
        <w:rPr>
          <w:rFonts w:ascii="Times New Roman" w:eastAsia="SimHei"/>
          <w:b/>
          <w:bCs/>
          <w:color w:val="162032"/>
          <w:sz w:val="28"/>
          <w:szCs w:val="28"/>
        </w:rPr>
        <w:t xml:space="preserve">5.1 协议格式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二进制协议，不经过 MsgDefine.config 模板，由 SConnect.SendTcCommand 直接组包发送。报文布局：</w:t>
      </w:r>
    </w:p>
    <w:p>
      <w:pPr>
        <w:spacing w:line="312"/>
      </w:pPr>
    </w:p>
    <w:tbl>
      <w:tblPr>
        <w:tblW w:type="pct" w:w="100%"/>
        <w:tblBorders>
          <w:top w:val="single" w:color="9AA6B2" w:sz="2"/>
          <w:left w:val="single" w:color="D0D0D0" w:sz="1"/>
          <w:bottom w:val="single" w:color="9AA6B2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偏移</w:t>
            </w:r>
          </w:p>
        </w:tc>
        <w:tc>
          <w:tcPr>
            <w:tcW w:type="pct" w:w="22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1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命令头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char[2]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固定为 "TC"</w:t>
            </w:r>
          </w:p>
        </w:tc>
      </w:tr>
      <w:tr>
        <w:trPr>
          <w:cantSplit/>
        </w:trPr>
        <w:tc>
          <w:tcPr>
            <w:tcW w:type="pct" w:w="1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gameID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U16 BE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游戏 ID，大端序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roomIndex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U16 BE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恒为 0（废弃多房间模型）</w:t>
            </w:r>
          </w:p>
        </w:tc>
      </w:tr>
      <w:tr>
        <w:trPr>
          <w:cantSplit/>
        </w:trPr>
        <w:tc>
          <w:tcPr>
            <w:tcW w:type="pct" w:w="1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tableIndex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U16 BE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桌台索引（ID % 1000）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桌名长度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7-bit varint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UTF-8 字节数，∖51</w:t>
            </w:r>
          </w:p>
        </w:tc>
      </w:tr>
      <w:tr>
        <w:trPr>
          <w:cantSplit/>
        </w:trPr>
        <w:tc>
          <w:tcPr>
            <w:tcW w:type="pct" w:w="1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8+</w:t>
            </w:r>
          </w:p>
        </w:tc>
        <w:tc>
          <w:tcPr>
            <w:tcW w:type="pct" w:w="22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桌名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UTF-8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桌台名称字符串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8+len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U8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0=禁用，1=启用</w:t>
            </w:r>
          </w:p>
        </w:tc>
      </w:tr>
      <w:tr>
        <w:trPr>
          <w:cantSplit/>
        </w:trPr>
        <w:tc>
          <w:tcPr>
            <w:tcW w:type="pct" w:w="1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9+len</w:t>
            </w:r>
          </w:p>
        </w:tc>
        <w:tc>
          <w:tcPr>
            <w:tcW w:type="pct" w:w="22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idleFireTimeoutSec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U32 BE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空闲超时秒数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13+len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idleFireKickEnabled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U8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0=禁用，1=启用</w:t>
            </w:r>
          </w:p>
        </w:tc>
      </w:tr>
      <w:tr>
        <w:trPr>
          <w:cantSplit/>
        </w:trPr>
        <w:tc>
          <w:tcPr>
            <w:tcW w:type="pct" w:w="1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14+len</w:t>
            </w:r>
          </w:p>
        </w:tc>
        <w:tc>
          <w:tcPr>
            <w:tcW w:type="pct" w:w="22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maxSeats</w:t>
            </w:r>
          </w:p>
        </w:tc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U16 BE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最大座位数（≤8）</w:t>
            </w:r>
          </w:p>
        </w:tc>
      </w:tr>
    </w:tbl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牌机不发送 TcTableExt 和 TcBetExt 扩展字段。</w:t>
      </w:r>
    </w:p>
    <w:p>
      <w:pPr>
        <w:pStyle w:val="Heading2"/>
        <w:spacing w:after="120" w:before="280" w:line="312"/>
      </w:pPr>
      <w:r>
        <w:rPr>
          <w:rFonts w:ascii="Times New Roman" w:eastAsia="SimHei"/>
          <w:b/>
          <w:bCs/>
          <w:color w:val="162032"/>
          <w:sz w:val="28"/>
          <w:szCs w:val="28"/>
        </w:rPr>
        <w:t xml:space="preserve">5.2 服务端处理要求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TC 是二进制指令，与 RP/PA 的文本协议不同。服务端必须：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识别命令头 "TC"，确认不是 RP/PA 文本指令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按大端序（Big-Endian）解析 U16/U32 字段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用 7-bit varint 解析桌名长度前缀，读取 UTF-8 桌名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将桌名、启用状态、超时、座位等写入 roomtableconfig 表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将更新后的桌台配置全量重推给子游戏服（通过 ApplyCardTableSnap 等）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回复 TCOK（成功）或 TCER（失败）</w:t>
      </w:r>
    </w:p>
    <w:p>
      <w:pPr>
        <w:spacing w:line="312"/>
        <w:ind w:left="480"/>
      </w:pPr>
      <w:r>
        <w:rPr>
          <w:rFonts w:ascii="Times New Roman" w:eastAsia="SimSun"/>
          <w:b/>
          <w:bCs/>
          <w:color w:val="5B6B7D"/>
          <w:sz w:val="22"/>
          <w:szCs w:val="22"/>
        </w:rPr>
        <w:t xml:space="preserve">注：</w:t>
      </w:r>
      <w:r>
        <w:rPr>
          <w:rFonts w:ascii="Times New Roman" w:eastAsia="SimSun"/>
          <w:color w:val="5B6B7D"/>
          <w:sz w:val="22"/>
          <w:szCs w:val="22"/>
        </w:rPr>
        <w:t xml:space="preserve">TC 接收时不能用字符串解析，必须用二进制流读取。后台已处理大端序和 varint，服务端需一致。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6. 服务端处理流程验证清单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以下是服务端必须实现的全部处理逻辑，请逐条打勾确认：</w:t>
      </w:r>
    </w:p>
    <w:p>
      <w:pPr>
        <w:spacing w:line="312"/>
      </w:pP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A. RP 指令处理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A1. 接收 "RP{gameId}" 文本指令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A2. 从数据库读取 paragame.ROOM_MAX（牌机恒为 1）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A3. 按 ROOM_MAX 循环读取 pararoom base 行（ID = gameId * 1000）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A4. 获取 base 行的 NUM = 当前桌台总数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A5. 按 NUM 循环读取 paracard（ID = gameId * 1000 + i），获取 DIF 和 HYPE_TYPE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A6. 读取 roomtableconfig 中该游戏的所有行，获取桌台基础配置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A7. 读取 roomtableconfig_card 中该游戏的所有行，获取牌机专属参数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A8. 读取 cardpayoutprofile 中该游戏每张桌的牌型概率（HandType 0~12 + 201/202/203）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A9. 将以上所有参数整合后下发给对应子游戏服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A10. 返回 RPOK（成功）或错误码（失败）</w:t>
      </w:r>
    </w:p>
    <w:p>
      <w:pPr>
        <w:spacing w:line="312"/>
      </w:pP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B. PA 指令处理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B1. 接收 "PA{2位gameId}{3位tableIndex}{16位DIF}{HYPE_TYPE}" 文本指令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B2. 抽取 gameId、tableIndex、DIF、HYPE_TYPE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B3. 通过 SetTablePara 下发 COM_TABLE_SET 给子游戏服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B4. 子游戏服调用 AlgDifSet 即时生效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B5. 将更新后的 DIF/HYPE_TYPE 写回 paracard 表（保持与数据库一致）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B6. 返回 PAOK（成功）或 PAER（失败）</w:t>
      </w:r>
    </w:p>
    <w:p>
      <w:pPr>
        <w:spacing w:line="312"/>
      </w:pP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C. TC 指令处理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C1. 接收二进制报文，识别命令头 "TC"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C2. 按大端序解析 U16: gameID、roomIndex、tableIndex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C3. 用 7-bit varint 解析桌名长度前缀，读取 UTF-8 桌名（∖51字节）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C4. 解析 U8 enabled、U32 BE idleFireTimeoutSec、U8 idleFireKickEnabled、U16 BE maxSeats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C5. 将以上字段写入 roomtableconfig 表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C6. 将更新后的桌台配置全量重推给子游戏服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C7. 返回 TCOK（成功）或 TCER（失败）</w:t>
      </w:r>
    </w:p>
    <w:p>
      <w:pPr>
        <w:spacing w:line="312"/>
      </w:pP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D. 数据库完整性</w:t>
      </w:r>
    </w:p>
    <w:p>
      <w:pPr>
        <w:spacing w:line="312"/>
      </w:pPr>
    </w:p>
    <w:tbl>
      <w:tblPr>
        <w:tblW w:type="pct" w:w="100%"/>
        <w:tblBorders>
          <w:top w:val="single" w:color="9AA6B2" w:sz="2"/>
          <w:left w:val="single" w:color="D0D0D0" w:sz="1"/>
          <w:bottom w:val="single" w:color="9AA6B2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pct" w:w="55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牌机字段</w:t>
            </w:r>
          </w:p>
        </w:tc>
        <w:tc>
          <w:tcPr>
            <w:tcW w:type="pct" w:w="27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热更方式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paragame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ROOM_MAX = 1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RP 前后台写入，服务端仅读</w:t>
            </w:r>
          </w:p>
        </w:tc>
      </w:tr>
      <w:tr>
        <w:trPr>
          <w:cantSplit/>
        </w:trPr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pararoom (base)</w:t>
            </w:r>
          </w:p>
        </w:tc>
        <w:tc>
          <w:tcPr>
            <w:tcW w:type="pct" w:w="55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ID=gameId*1000, NUM=++桌数, BET_MIN/MAX, EX_COIN, COIN_SC, COIN_NEED, scoreSwitch, Game_Mo, MinBetUnits, MaxBetUnits, TableName, MaxSeats, IdleFireTimeoutSec, IdleFireKickEnabled, Enabled</w:t>
            </w:r>
          </w:p>
        </w:tc>
        <w:tc>
          <w:tcPr>
            <w:tcW w:type="pct" w:w="27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RP 重载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paracard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ID=gameId*1000+i, DIF(16位), HYPE_TYPE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PA 实时 + RP 重载</w:t>
            </w:r>
          </w:p>
        </w:tc>
      </w:tr>
      <w:tr>
        <w:trPr>
          <w:cantSplit/>
        </w:trPr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roomtableconfig</w:t>
            </w:r>
          </w:p>
        </w:tc>
        <w:tc>
          <w:tcPr>
            <w:tcW w:type="pct" w:w="55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TableIndex, TableName, Enabled, OneCoinScore, BetMin, BetMax, CoinsNeed, IdleFireTimeoutSec, IdleFireKickEnabled, MaxSeats, MinBetUnits</w:t>
            </w:r>
          </w:p>
        </w:tc>
        <w:tc>
          <w:tcPr>
            <w:tcW w:type="pct" w:w="27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TC 热更 + RP 重载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roomtableconfig_card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TableIndex, ExCoin, ScoreSwitch, GameMo, MaxBetUnits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RP 重载</w:t>
            </w:r>
          </w:p>
        </w:tc>
      </w:tr>
      <w:tr>
        <w:trPr>
          <w:cantSplit/>
        </w:trPr>
        <w:tc>
          <w:tcPr>
            <w:tcW w:type="pct" w:w="1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cardpayoutprofile</w:t>
            </w:r>
          </w:p>
        </w:tc>
        <w:tc>
          <w:tcPr>
            <w:tcW w:type="pct" w:w="55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TableId, HandType(0~12, 201/202/203), ProbabilityBasis, Enabled</w:t>
            </w:r>
          </w:p>
        </w:tc>
        <w:tc>
          <w:tcPr>
            <w:tcW w:type="pct" w:w="27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RP 重载</w:t>
            </w:r>
          </w:p>
        </w:tc>
      </w:tr>
    </w:tbl>
    <w:p>
      <w:pPr>
        <w:spacing w:line="312"/>
      </w:pP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D1. 牌机 pararoom base 行 ID = gameId * 1000（不是 gameId * 1000 + i）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D2. paracard ID = gameId * 1000 + i（从 0 开始连续编号）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D3. roomtableconfig.TableIndex 与 paracard 索引保持一致（删除后压缩后都从 0 开始连续）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D4. cardpayoutprofile 中 HandType 0~12 对应 te_CardsType 枚举，201/202/203 为鬼牌哨兵行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D5. 牌型赔率为万分比（0~10000），合计不超过 10000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D6. 鬼牌三段概率合计不超过 10000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7. 常见问题与注意事项</w:t>
      </w:r>
    </w:p>
    <w:p>
      <w:pPr>
        <w:spacing w:line="312"/>
      </w:pP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7.1 ROOM_MAX 未同步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如果 paragame.ROOM_MAX 不等于当前房间数（牌机恒为 1），服务端只会加载 ROOM_MAX 个房间。新增的桌台如果 TableIndex 超出范围，会被忽略。后台在发 RP 前已调用 SyncRoomMaxToRoomCount，但服务端应不依赖缓存的 ROOM_MAX。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7.2 删除桌台后索引压缩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删除桌台后，roomtableconfig.TableIndex 和 paracard.ID 必须重新编号为 0..k-1。如果不压缩，服务端的 GetCardPara 按 ID=gameId*1000+i 循环读取时会读到错位数据。后台已实现 CompactCardParaIds，服务端不需要处理此逻辑，但需确保读取时不依赖 ID 连续性。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7.3 牌型赔率倍数不在后台管理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牌型赔率倍数以客户端 Blueeboard.cs 为唯一权威，后台既不接收也不保存。服务端不应从 cardpayoutprofile.PayoutMultiplier 读取倍率，该字段在数据库中使用默认值 0。牌型赔率倍数无法通过后台热更新。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7.4 PA 失败不回滚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当前代码策略：RP 成功后数据库已提交，PA 失败仅记日志不回滚。这意味着服务端内存中的难度参数可能暂时与数据库不一致，等待下次 RP 或重启后自动恢复。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7.5 牌型概率合计校验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后台保存时会校验：中奖牌型概率合计 ≤ 10000，鬼牌三段概率合计 ≤ 10000。服务端不需要重复校验，但在 cardpayoutprofile 中读取时应注意 Enabled 为 0 的行应被忽略。</w:t>
      </w:r>
    </w:p>
    <w:p>
      <w:pPr>
        <w:spacing w:line="312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7.6 所有参数均可热更新（除倍率外）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除了牌型赔率倍数（客户端硬编码）之外，牌机的所有参数都支持热更新：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ROOM_MAX / NUM / BET_MIN / BET_MAX / EX_COIN / COIN_SC / COIN_NEED / scoreSwitch / Game_Mo / MinBetUnits / MaxBetUnits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桌名 / 启用 / 超时 / 座位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DIF (16位难度串) / HYPE_TYPE (炒场类型)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牌型概率 (HandType 0~12 万分比) / 牌型启用 (Enabled)</w:t>
      </w:r>
    </w:p>
    <w:p>
      <w:pPr>
        <w:spacing w:after="40" w:before="40" w:line="312"/>
        <w:ind w:left="36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□  </w:t>
      </w:r>
      <w:r>
        <w:rPr>
          <w:rFonts w:ascii="Times New Roman" w:eastAsia="SimSun"/>
          <w:color w:val="000000"/>
          <w:sz w:val="24"/>
          <w:szCs w:val="24"/>
        </w:rPr>
        <w:t xml:space="preserve">鬼牌概率 (HandType 201/202/203 万分比) / 鬼牌启用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62032"/>
          <w:sz w:val="32"/>
          <w:szCs w:val="32"/>
        </w:rPr>
        <w:t xml:space="preserve">8. 测试场景提示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以下场景可用于验证牌机热更新是否完整实现：</w:t>
      </w:r>
    </w:p>
    <w:p>
      <w:pPr>
        <w:spacing w:line="312"/>
      </w:pPr>
    </w:p>
    <w:tbl>
      <w:tblPr>
        <w:tblW w:type="pct" w:w="100%"/>
        <w:tblBorders>
          <w:top w:val="single" w:color="9AA6B2" w:sz="2"/>
          <w:left w:val="single" w:color="D0D0D0" w:sz="1"/>
          <w:bottom w:val="single" w:color="9AA6B2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pct" w:w="2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2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  <w:tc>
          <w:tcPr>
            <w:tcW w:type="pct" w:w="28%"/>
            <w:shd w:fill="1620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验证方法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修改牌型概率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后台修改某牌型概率并保存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子游戏服即时生效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查看子游戏服牌型概率是否更新</w:t>
            </w:r>
          </w:p>
        </w:tc>
      </w:tr>
      <w:tr>
        <w:trPr>
          <w:cantSplit/>
        </w:trPr>
        <w:tc>
          <w:tcPr>
            <w:tcW w:type="pct" w:w="16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修改难度参数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后台修改 DIF 并保存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子游戏服即时生效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查看 AlgDifSet 是否被触发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修改桌名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后台修改桌台名称并保存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桌名即时更新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查看子游戏服桌名是否变化</w:t>
            </w:r>
          </w:p>
        </w:tc>
      </w:tr>
      <w:tr>
        <w:trPr>
          <w:cantSplit/>
        </w:trPr>
        <w:tc>
          <w:tcPr>
            <w:tcW w:type="pct" w:w="16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新增桌台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后台新增一张牌机桌并保存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新桌即时可见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子游戏服能连接新桌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删除桌台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后台删除一张桌并保存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行中桌台即时不可见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子游戏服不再显示该桌</w:t>
            </w:r>
          </w:p>
        </w:tc>
      </w:tr>
      <w:tr>
        <w:trPr>
          <w:cantSplit/>
        </w:trPr>
        <w:tc>
          <w:tcPr>
            <w:tcW w:type="pct" w:w="16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修改加芬幅度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后台修改 scoreSwitch 并保存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子游戏服即时生效</w:t>
            </w:r>
          </w:p>
        </w:tc>
        <w:tc>
          <w:tcPr>
            <w:tcW w:type="pct" w:w="28%"/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查看子游戏服 scoreSwitch 是否更新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热更失败恢复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手动重启子游戏服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服务端从数据库加载最新参数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确认重启后参数与后台一致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1620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Times New Roman" w:eastAsia="SimHei"/>
      <w:b/>
      <w:bCs/>
      <w:color w:val="1620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Times New Roman" w:eastAsia="SimHei"/>
      <w:b/>
      <w:bCs/>
      <w:color w:val="162032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2026-08-01T08:41:50.408Z</dcterms:created>
  <dcterms:modified xsi:type="dcterms:W3CDTF">2026-08-01T08:41:50.410Z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