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F7C908">
      <w:pPr>
        <w:pStyle w:val="6"/>
        <w:spacing w:before="29" w:line="192" w:lineRule="auto"/>
        <w:ind w:left="9869"/>
      </w:pPr>
      <w:r>
        <w:t>1</w:t>
      </w:r>
    </w:p>
    <w:p w14:paraId="0877C7CB">
      <w:pPr>
        <w:spacing w:line="348" w:lineRule="auto"/>
        <w:rPr>
          <w:rFonts w:ascii="Arial"/>
          <w:sz w:val="21"/>
        </w:rPr>
      </w:pPr>
    </w:p>
    <w:p w14:paraId="29A80D4C"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基于相干光量子计算机</w:t>
      </w:r>
      <w:r>
        <w:rPr>
          <w:rFonts w:hint="eastAsia" w:eastAsia="宋体"/>
          <w:lang w:eastAsia="zh-CN"/>
        </w:rPr>
        <w:t>(</w:t>
      </w:r>
      <w:r>
        <w:rPr>
          <w:rFonts w:hint="default"/>
        </w:rPr>
        <w:t>CIM</w:t>
      </w:r>
      <w:r>
        <w:rPr>
          <w:rFonts w:hint="eastAsia" w:eastAsia="宋体"/>
          <w:lang w:eastAsia="zh-CN"/>
        </w:rPr>
        <w:t>)</w:t>
      </w:r>
      <w:r>
        <w:rPr>
          <w:rFonts w:hint="default"/>
        </w:rPr>
        <w:t>的空时编码超表面量子启发优化算法复现</w:t>
      </w:r>
    </w:p>
    <w:p w14:paraId="6015D9C3">
      <w:pPr>
        <w:pStyle w:val="3"/>
        <w:bidi w:val="0"/>
        <w:rPr>
          <w:rFonts w:hint="default"/>
          <w:b w:val="0"/>
          <w:bCs/>
        </w:rPr>
      </w:pPr>
      <w:r>
        <w:rPr>
          <w:rFonts w:hint="default"/>
        </w:rPr>
        <w:t>研究背景与问题描述</w:t>
      </w:r>
    </w:p>
    <w:p w14:paraId="72F665F5">
      <w:pPr>
        <w:pStyle w:val="4"/>
        <w:bidi w:val="0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研究背景：超表面技术演进与空时编码的突破</w:t>
      </w:r>
    </w:p>
    <w:p w14:paraId="2CF78B8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超表面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Metasurfaces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作为一种由亚波长尺度单元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超原子</w:t>
      </w: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周期性或非周期性排列构成的人工电磁结构，通过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精确设计超原子的几何形状、尺寸及材料属性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，可实现对电磁波振幅、相位、极化状态的灵活调控，其核心优势在于突破传统电磁器件的体积限制，实现“平面化、轻量化、高集成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”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的电磁波操控功能，已在波束成形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如 5G 基站的定向通信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、高频滤波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卫星通信抗干扰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、波前整形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光学成像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等领域展现出不可替代的应用价值。</w:t>
      </w:r>
    </w:p>
    <w:p w14:paraId="6A1162E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随着无线通信向 5G-A/6G 演进，对动态波束调控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如高速移动场景下的波束跟踪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、频率捷变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多频段协同通信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的需求日益迫切，传统静态超表面因仅具备空间维度的调控能力，无法满足时间维度的动态响应需求。为此，空时编码超表面</w:t>
      </w: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Space-Time Coding Metasurfaces</w:t>
      </w: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被提出——通过引入时间调制维度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即超原子的电磁响应随时间序列动态变化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，将“空间-时间”维度融合为统一调控域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实现对电磁波的动态频率选择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如特定谐波的增强 / 抑制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、实时波束转向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毫秒级响应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等功能，为下一代无线通信、雷达探测、量子通信等领域提供了全新技术路径 。</w:t>
      </w:r>
    </w:p>
    <w:p w14:paraId="2E29245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然而，空时编码超表面的功能实现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高度依赖优化算法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，其优化问题本质是高维离散组合优化问题：需同时确定“空间维度的超原子排布”与 “时间维度的调制序列”——假设超表面空间规模为M×N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M行N列超原子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、时间序列长度为L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L个时间槽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、相位编码精度为n bit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如 2 比特对应 4 种相位状态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，则优化变量总数为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M×N×L×n bit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，变量规模随时间维度L的增加呈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线性增长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，导致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计算复杂度呈指数级上升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。</w:t>
      </w:r>
    </w:p>
    <w:p w14:paraId="006646FD">
      <w:pPr>
        <w:bidi w:val="0"/>
        <w:ind w:firstLine="480" w:firstLineChars="20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传统优化算法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如遗传算法 GA、模拟退火 SA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在处理该问题时面临显著瓶颈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8×8×8×2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8 行 8 列超原子、8 个时间槽、2 比特编码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的中等规模超表面为例，GA 单次优化需 662 秒，时间复杂度随变量数呈O(N</w:t>
      </w:r>
      <w:r>
        <w:rPr>
          <w:rFonts w:hint="eastAsia"/>
          <w:sz w:val="24"/>
          <w:szCs w:val="24"/>
          <w:vertAlign w:val="superscript"/>
          <w:lang w:val="en-US" w:eastAsia="zh-CN"/>
        </w:rPr>
        <w:t>3</w:t>
      </w:r>
      <w:r>
        <w:rPr>
          <w:rFonts w:hint="default"/>
          <w:sz w:val="24"/>
          <w:szCs w:val="24"/>
          <w:lang w:val="en-US" w:eastAsia="zh-CN"/>
        </w:rPr>
        <w:t>)增长；而现有改进方法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 xml:space="preserve">如等效幅相提取法、机器学习辅助优化 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需先对超表面的电磁响应进行预处理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如离线训练模型、提取等效参数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，不仅增加了流程复杂度，还无法实现 “从优化目标到超原子配置”的端到端优化，进一步限制了空时编码超表面的规模化应用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如15×15×8×2的大规模场景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。</w:t>
      </w:r>
    </w:p>
    <w:p w14:paraId="6A0D8B80">
      <w:pPr>
        <w:pStyle w:val="4"/>
        <w:bidi w:val="0"/>
        <w:rPr>
          <w:rFonts w:hint="eastAsia" w:ascii="黑体" w:hAnsi="黑体" w:eastAsia="黑体" w:cs="黑体"/>
          <w:b w:val="0"/>
          <w:bCs w:val="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问题描述：高维离散优化的核心挑战与解决方案框架</w:t>
      </w:r>
    </w:p>
    <w:p w14:paraId="0648393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空时编码超表面的核心优化目标是：在给定电磁波操控需求(如主波束指向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、旁瓣抑制要求、特定谐波增强)下，快速找到“超原子空间排布+时间调制序列” 的最优组合，使得超表面的远场散射特性满足设计指标。具体挑战可拆解为三点：</w:t>
      </w:r>
    </w:p>
    <w:p w14:paraId="1F4B9D3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维度耦合性：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空间维度的超原子相位与时间维度的调制序列存在强耦合(某一超原子在不同时间槽的相位会共同影响谐波波束的形成)，无法单独优化某一维度；</w:t>
      </w:r>
    </w:p>
    <w:p w14:paraId="1ADC5B4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离散性约束：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超原子的相位状态由硬件实现决定(如2比特编码对应4种离散相位)，需满足整数离散约束，无法采用连续优化算法(如梯度下降)；</w:t>
      </w:r>
    </w:p>
    <w:p w14:paraId="6FEEA99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实时性需求：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5G/6G 通信、雷达探测等场景要求超表面在毫秒级完成波束重构，传统算法的秒级优化时间无法满足需求。</w:t>
      </w:r>
    </w:p>
    <w:p w14:paraId="4BBE4F60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6EEE410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为解决上述挑战，论文提出“物理模型 - 量子启发算法 - 硬件求解” 的一体化框架：</w:t>
      </w:r>
    </w:p>
    <w:p w14:paraId="5FEB0AD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物理映射：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将超表面的散射行为映射为二进制自旋模型(Ising 模型)，通过自旋变量表示超原子的离散相位状态；</w:t>
      </w:r>
    </w:p>
    <w:p w14:paraId="7CD7EBC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算法优化：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采用量子启发的模拟分叉(SB)算法求解自旋模型，平衡优化精度与计算效率；</w:t>
      </w:r>
    </w:p>
    <w:p w14:paraId="17DF5A2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硬件验证：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将自旋模型转化为二次无约束二进制优化(QUBO)模型，利用相干光量子计算机(CIM，KaiWU-CPQC-550)进行真机求解，借助量子硬件的并行计算特性突破 “维度灾难”。</w:t>
      </w:r>
    </w:p>
    <w:p w14:paraId="77C768F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本课题基于上述框架，重点完成 “QUBO 模型推导 - 真机求解 - 性能验证” 三大任务，验证该量子启发方法在实际硬件上的可行性与高效性</w:t>
      </w:r>
    </w:p>
    <w:p w14:paraId="1F1D2F3E">
      <w:pPr>
        <w:spacing w:before="274" w:line="230" w:lineRule="auto"/>
        <w:outlineLvl w:val="0"/>
        <w:rPr>
          <w:rFonts w:ascii="黑体" w:hAnsi="黑体" w:eastAsia="黑体" w:cs="黑体"/>
          <w:spacing w:val="7"/>
          <w:sz w:val="23"/>
          <w:szCs w:val="23"/>
        </w:rPr>
      </w:pPr>
    </w:p>
    <w:p w14:paraId="031E6E39">
      <w:pPr>
        <w:pStyle w:val="3"/>
        <w:bidi w:val="0"/>
        <w:rPr>
          <w:rFonts w:ascii="黑体" w:hAnsi="黑体" w:eastAsia="黑体" w:cs="黑体"/>
          <w:spacing w:val="7"/>
          <w:sz w:val="23"/>
          <w:szCs w:val="23"/>
        </w:rPr>
      </w:pPr>
      <w:r>
        <w:rPr>
          <w:lang w:val="en-US" w:eastAsia="zh-CN"/>
        </w:rPr>
        <w:t>QUBO 模型推导与建模及CIM真机求解性能分析</w:t>
      </w:r>
    </w:p>
    <w:p w14:paraId="39A7632E">
      <w:pPr>
        <w:pStyle w:val="4"/>
        <w:bidi w:val="0"/>
        <w:rPr>
          <w:sz w:val="30"/>
          <w:szCs w:val="30"/>
        </w:rPr>
      </w:pPr>
      <w:r>
        <w:rPr>
          <w:sz w:val="30"/>
          <w:szCs w:val="30"/>
        </w:rPr>
        <w:t>一、核心物理量与目标函数定义</w:t>
      </w:r>
    </w:p>
    <w:p w14:paraId="7180BCBF">
      <w:pPr>
        <w:pStyle w:val="5"/>
        <w:bidi w:val="0"/>
        <w:rPr>
          <w:rFonts w:hint="eastAsia"/>
          <w:sz w:val="28"/>
          <w:szCs w:val="28"/>
          <w:lang w:val="en-US" w:eastAsia="en-US"/>
        </w:rPr>
      </w:pPr>
      <w:r>
        <w:rPr>
          <w:rFonts w:hint="eastAsia"/>
          <w:sz w:val="28"/>
          <w:szCs w:val="28"/>
          <w:lang w:val="en-US" w:eastAsia="en-US"/>
        </w:rPr>
        <w:t>1.  散射功率表达式</w:t>
      </w:r>
    </w:p>
    <w:p w14:paraId="708742B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空时编码超表面的远场散射功率是衡量其性能的核心物理量，需考虑“空间-时间-谐波”三维因素，</w:t>
      </w:r>
    </w:p>
    <w:p w14:paraId="367B06C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第h次谐波（对应频率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fc+ℎf0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fc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为中心频率，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f0=1/T0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为时间调制频率）的远场散射功率公式为：</w:t>
      </w:r>
    </w:p>
    <w:p w14:paraId="5C3D8F2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 xml:space="preserve">                                             P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napToGrid w:val="0"/>
              <w:color w:val="000000"/>
              <w:spacing w:val="7"/>
              <w:kern w:val="0"/>
              <w:sz w:val="24"/>
              <w:szCs w:val="24"/>
              <w:lang w:val="en-US" w:eastAsia="zh-CN" w:bidi="ar-SA"/>
            </w:rPr>
            <m:t>(θ,φ)=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p,q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  <m:t>Γ</m:t>
                  </m:r>
                  <m:ctrl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default" w:ascii="Cambria Math" w:hAnsi="Cambria Math" w:eastAsia="宋体" w:cs="宋体"/>
              <w:snapToGrid w:val="0"/>
              <w:color w:val="000000"/>
              <w:spacing w:val="7"/>
              <w:kern w:val="0"/>
              <w:sz w:val="24"/>
              <w:szCs w:val="24"/>
              <w:lang w:val="en-US" w:eastAsia="zh-CN" w:bidi="ar-SA"/>
            </w:rPr>
            <m:t>⋅</m:t>
          </m:r>
          <m:sSubSup>
            <m:sSubSupP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Γ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q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∗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eastAsia="宋体" w:cs="宋体"/>
              <w:snapToGrid w:val="0"/>
              <w:color w:val="000000"/>
              <w:spacing w:val="7"/>
              <w:kern w:val="0"/>
              <w:sz w:val="24"/>
              <w:szCs w:val="24"/>
              <w:lang w:val="en-US" w:eastAsia="zh-CN" w:bidi="ar-SA"/>
            </w:rPr>
            <m:t>⋅</m:t>
          </m:r>
          <m:sSub>
            <m:sSubP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A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pq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napToGrid w:val="0"/>
              <w:color w:val="000000"/>
              <w:spacing w:val="7"/>
              <w:kern w:val="0"/>
              <w:sz w:val="24"/>
              <w:szCs w:val="24"/>
              <w:lang w:val="en-US" w:eastAsia="zh-CN" w:bidi="ar-SA"/>
            </w:rPr>
            <m:t xml:space="preserve">                                                           (1)  </m:t>
          </m:r>
        </m:oMath>
      </m:oMathPara>
    </w:p>
    <w:p w14:paraId="03BEF74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en-US" w:bidi="ar-SA"/>
        </w:rPr>
        <w:t>超原子时空统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-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en-US" w:bidi="ar-SA"/>
        </w:rPr>
        <w:t>索引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p,q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整合“空间坐标+时间槽”的唯一索引，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p=(m−1)NL+(n−1)L+l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m（1~ M）、n（1 ~N）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为超原子空间行/列坐标:</w:t>
      </w:r>
    </w:p>
    <w:p w14:paraId="2841DDD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l（1~ L）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为时间槽索引；</w:t>
      </w:r>
    </w:p>
    <w:p w14:paraId="0116DB0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N为列数，L为时间序列长度</w:t>
      </w:r>
    </w:p>
    <w:p w14:paraId="50AED0B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取值范围，整数 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en-US" w:bidi="ar-SA"/>
          </w:rPr>
          <m:t>1≤p,q≤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en-US" w:bidi="ar-SA"/>
              </w:rPr>
              <m:t>N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en-US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en-US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m:oMath>
        <m:r>
          <m:rPr>
            <m:sty m:val="p"/>
          </m:rPr>
          <w:rPr>
            <w:rFonts w:hint="eastAsia" w:ascii="宋体" w:hAnsi="宋体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en-US" w:bidi="ar-SA"/>
          </w:rPr>
          <m:t>Ns=M</m:t>
        </m:r>
      </m:oMath>
      <w:r>
        <w:rPr>
          <w:rFonts w:hint="eastAsia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*</w:t>
      </w:r>
      <m:oMath>
        <m:r>
          <m:rPr>
            <m:sty m:val="p"/>
          </m:rPr>
          <w:rPr>
            <w:rFonts w:hint="eastAsia" w:ascii="宋体" w:hAnsi="宋体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en-US" w:bidi="ar-SA"/>
          </w:rPr>
          <m:t>N</m:t>
        </m:r>
      </m:oMath>
      <w:r>
        <w:rPr>
          <w:rFonts w:hint="eastAsia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*</w:t>
      </w:r>
      <m:oMath>
        <m:r>
          <m:rPr>
            <m:sty m:val="p"/>
          </m:rPr>
          <w:rPr>
            <w:rFonts w:hint="eastAsia" w:ascii="宋体" w:hAnsi="宋体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en-US" w:bidi="ar-SA"/>
          </w:rPr>
          <m:t>L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为时空超原子总数)</w:t>
      </w:r>
    </w:p>
    <w:p w14:paraId="7134794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超原子反射系数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：描述超原子对入射波的反射能力，空时编码中采用纯相位调制（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=1）</w:t>
      </w:r>
    </w:p>
    <w:p w14:paraId="34186DD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时空耦合系数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表征超原子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与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q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在“空间相位差+时间调制差”下的电磁耦合强度</w:t>
      </w:r>
    </w:p>
    <w:p w14:paraId="08F626F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jc w:val="center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drawing>
          <wp:inline distT="0" distB="0" distL="0" distR="0">
            <wp:extent cx="4973955" cy="351155"/>
            <wp:effectExtent l="0" t="0" r="7620" b="127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4108" cy="3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1A7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单个超原子的远场方向分布图(原论文假设为余弦分布)：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E(θ,φ)=cosθ</m:t>
        </m:r>
      </m:oMath>
    </w:p>
    <w:p w14:paraId="7C1619E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谐波 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sinc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因子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  <m:oMath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sinc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d>
          <m:d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fPr>
              <m:num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πℎ</m:t>
                </m: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num>
              <m:den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L</m:t>
                </m: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den>
            </m:f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d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：时间调制产生的谐波功率衰减因子，L越大（时间槽越多），非目标谐波衰减越显著，</w:t>
      </w:r>
      <m:oMath>
        <m:r>
          <m:rPr/>
          <w:rPr>
            <w:rFonts w:hint="default" w:ascii="Cambria Math" w:hAnsi="Cambria Math" w:eastAsia="宋体"/>
            <w:sz w:val="24"/>
          </w:rPr>
          <m:t>ℎ=0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（中心频率）时</w:t>
      </w:r>
      <m:oMath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sinc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(0)=1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（功率最大）；</w:t>
      </w:r>
      <m:oMath>
        <m:r>
          <m:rPr/>
          <w:rPr>
            <w:rFonts w:hint="default" w:ascii="Cambria Math" w:hAnsi="Cambria Math" w:eastAsia="宋体"/>
            <w:sz w:val="24"/>
          </w:rPr>
          <m:t>ℎ=</m:t>
        </m:r>
        <m:r>
          <m:rPr>
            <m:sty m:val="p"/>
          </m:rPr>
          <w:rPr>
            <w:rFonts w:hint="default" w:ascii="Cambria Math" w:hAnsi="Cambria Math" w:eastAsia="宋体"/>
            <w:sz w:val="24"/>
          </w:rPr>
          <m:t>±</m:t>
        </m:r>
        <m:r>
          <m:rPr/>
          <w:rPr>
            <w:rFonts w:hint="default" w:ascii="Cambria Math" w:hAnsi="Cambria Math" w:eastAsia="宋体"/>
            <w:sz w:val="24"/>
          </w:rPr>
          <m:t>L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时为 0（谐波抑制）</w:t>
      </w:r>
    </w:p>
    <w:p w14:paraId="5080CD4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空间波数分量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y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：入射波在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x/y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方向的波数分量，与波束指向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直接相关</w:t>
      </w:r>
    </w:p>
    <w:p w14:paraId="6C4A1E4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 xml:space="preserve">   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func>
          <m:func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sin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func>
        <m:func>
          <m:func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cos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func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y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func>
          <m:func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sin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func>
        <m:func>
          <m:func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sin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func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=2π/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λ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λ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为中心波长)</w:t>
      </w:r>
    </w:p>
    <w:p w14:paraId="77DCE3A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超原子间距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d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：相邻超原子在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x/y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方向的距离，需满足奈奎斯特采样条件以避免栅瓣，通常取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d=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λ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/2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（避免相邻超原子的电磁耦合与栅瓣干扰）</w:t>
      </w:r>
    </w:p>
    <w:p w14:paraId="09F06546">
      <w:pPr>
        <w:pStyle w:val="5"/>
        <w:bidi w:val="0"/>
        <w:rPr>
          <w:rFonts w:hint="eastAsia"/>
          <w:sz w:val="28"/>
          <w:szCs w:val="28"/>
          <w:lang w:val="en-US" w:eastAsia="en-US"/>
        </w:rPr>
      </w:pPr>
      <w:r>
        <w:rPr>
          <w:rFonts w:hint="eastAsia"/>
          <w:sz w:val="28"/>
          <w:szCs w:val="28"/>
          <w:lang w:val="en-US" w:eastAsia="en-US"/>
        </w:rPr>
        <w:t>2.  优化目标与哈密顿量</w:t>
      </w:r>
    </w:p>
    <w:p w14:paraId="038E338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空时编码超表面的典型优化目标是“增强主波束功率+抑制旁瓣功率+抑制非目标谐波”，由于量子启发算法（如 SB）、CIM 硬件均以“最小化能量函数（哈密顿量）”为目标，需将“功率最大化”转化为“哈密顿量最小化”，具体推导如下：</w:t>
      </w:r>
    </w:p>
    <w:p w14:paraId="52FD52E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目标函数的物理意义拆解:​</w:t>
      </w:r>
    </w:p>
    <w:p w14:paraId="3BFE2E7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主波束增强：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最大化目标方向(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)的主波束功率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ℎ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，确保信号在目标方向的辐射强度；</w:t>
      </w:r>
    </w:p>
    <w:p w14:paraId="6413027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旁瓣抑制：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最小化旁瓣区域的平均功率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（旁瓣会导致能量浪费、通信干扰），旁瓣区域定义为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θ∉[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−Δ,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+Δ]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Δ</m:t>
        </m:r>
        <m:r>
          <m:rPr>
            <m:sty m:val="p"/>
          </m:rPr>
          <w:rPr>
            <w:rFonts w:hint="eastAsia" w:ascii="宋体" w:hAnsi="宋体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为旁瓣区域阈值，通常取</m:t>
        </m:r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0.1rad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）；</w:t>
      </w:r>
    </w:p>
    <w:p w14:paraId="502E7FA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谐波控制：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抑制非目标谐波（如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h=±1,±2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）的功率，避免频率资源浪费。</w:t>
      </w:r>
    </w:p>
    <w:p w14:paraId="6FFA924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哈密顿量构建将上述目标整合为加权求和形式，再取负转化为 “最小化问题”，哈密顿量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H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定义为：</w:t>
      </w:r>
    </w:p>
    <w:p w14:paraId="7754F79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                                  H=−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总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=−</m:t>
        </m:r>
        <m:d>
          <m:d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Pr>
          <m:e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w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main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⋅</m:t>
            </m:r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ℎ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(</m:t>
            </m:r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θ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0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,</m:t>
            </m:r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φ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0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)+</m:t>
            </m:r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w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side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⋅</m:t>
            </m:r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side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d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    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           </w:t>
      </w:r>
      <w:r>
        <w:rPr>
          <w:rFonts w:hint="eastAsia" w:ascii="Cambria Math" w:hAnsi="Cambria Math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(3)</w:t>
      </w:r>
    </w:p>
    <w:p w14:paraId="59DA8E2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w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main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&gt;0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：主波束增强权重，取值需大于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0 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以强化主目标（实验中取 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10.0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，确保主波束功率优先）；</w:t>
      </w:r>
    </w:p>
    <w:p w14:paraId="55262E8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w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&lt;0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：旁瓣抑制权重，负值表示对旁瓣功率的 “惩罚”（实验中取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− 1.0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，避免过度惩罚导致主瓣功率下降）；</w:t>
      </w:r>
    </w:p>
    <w:p w14:paraId="39585E4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：旁瓣区域平均功率，通过离散角度积分近似计算 —— 将旁瓣区域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θ∈[−π/2,π/2]∖[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−Δ,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+Δ]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离散为K个角度点（实验中</w:t>
      </w:r>
      <m:oMath>
        <m:r>
          <m:rPr/>
          <w:rPr>
            <w:rFonts w:hint="default" w:ascii="Cambria Math" w:hAnsi="Cambria Math" w:eastAsia="宋体"/>
            <w:sz w:val="24"/>
          </w:rPr>
          <m:t>K=20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n>
        </m:f>
        <m:nary>
          <m:naryPr>
            <m:chr m:val="∑"/>
            <m:limLoc m:val="undOvr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k=1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ℎ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nary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</w:p>
    <w:p w14:paraId="5638973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4251FA3C">
      <w:pPr>
        <w:pStyle w:val="4"/>
        <w:bidi w:val="0"/>
        <w:rPr>
          <w:rFonts w:hint="eastAsia"/>
          <w:sz w:val="30"/>
          <w:szCs w:val="30"/>
          <w:lang w:val="en-US" w:eastAsia="zh-CN"/>
        </w:rPr>
      </w:pPr>
      <w:r>
        <w:rPr>
          <w:sz w:val="30"/>
          <w:szCs w:val="30"/>
          <w:lang w:val="en-US" w:eastAsia="en-US"/>
        </w:rPr>
        <w:t>二、1 比特编码 QUBO 模型推导</w:t>
      </w:r>
      <w:r>
        <w:rPr>
          <w:rFonts w:hint="eastAsia"/>
          <w:sz w:val="30"/>
          <w:szCs w:val="30"/>
          <w:lang w:val="en-US" w:eastAsia="zh-CN"/>
        </w:rPr>
        <w:t>​</w:t>
      </w:r>
    </w:p>
    <w:p w14:paraId="53C5C422">
      <w:pPr>
        <w:pStyle w:val="5"/>
        <w:bidi w:val="0"/>
        <w:rPr>
          <w:rFonts w:hint="eastAsia"/>
          <w:sz w:val="28"/>
          <w:szCs w:val="28"/>
          <w:lang w:val="en-US" w:eastAsia="en-US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  <w:lang w:val="en-US" w:eastAsia="en-US"/>
        </w:rPr>
        <w:t xml:space="preserve"> 反射系数与自旋变量的物理映射​</w:t>
      </w:r>
    </w:p>
    <w:p w14:paraId="4EBC24C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1 比特编码下，超原子的反射系数（纯相位）直接由二进制自旋变量表示，即：</w:t>
      </w:r>
    </w:p>
    <w:p w14:paraId="1C47AF1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3556" w:firstLineChars="14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 (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∈{−1,1})                                                  </m:t>
        </m:r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(4)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   </w:t>
      </w:r>
    </w:p>
    <w:p w14:paraId="2F20CD4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hAnsi="Cambria Math" w:eastAsia="宋体"/>
          <w:i w:val="0"/>
          <w:sz w:val="21"/>
          <w:lang w:val="en-US" w:eastAsia="zh-CN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物理意义：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对应一种相位状态（如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0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），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=−1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对应另一种相位状态（如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π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），通过自旋变量的二进制特性描述超原子相位的离散性，同时满足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|=1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的纯相位约束。        </w:t>
      </w:r>
      <w:r>
        <w:rPr>
          <w:rFonts w:hint="eastAsia" w:hAnsi="Cambria Math" w:eastAsia="宋体"/>
          <w:i w:val="0"/>
          <w:sz w:val="21"/>
          <w:lang w:val="en-US" w:eastAsia="zh-CN"/>
        </w:rPr>
        <w:t xml:space="preserve">                                                                                                                       </w:t>
      </w:r>
    </w:p>
    <w:p w14:paraId="4F25158B"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 哈密顿量简化与 QUBO 系数</w:t>
      </w:r>
    </w:p>
    <w:p w14:paraId="1683A30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将式 (4) 代入式 (3) ，哈密顿量简化为：</w:t>
      </w:r>
    </w:p>
    <w:p w14:paraId="4EBDA90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Cambria Math" w:hAnsi="Cambria Math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snapToGrid w:val="0"/>
              <w:color w:val="000000"/>
              <w:spacing w:val="7"/>
              <w:kern w:val="0"/>
              <w:sz w:val="24"/>
              <w:szCs w:val="24"/>
              <w:lang w:val="en-US" w:eastAsia="zh-CN" w:bidi="ar-SA"/>
            </w:rPr>
            <m:t xml:space="preserve">                                                      H=−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p,q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  <m:t>J</m:t>
                  </m:r>
                  <m:ctrl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  <m:t>pq</m:t>
                  </m:r>
                  <m:ctrlPr>
                    <w:rPr>
                      <w:rFonts w:hint="default" w:ascii="Cambria Math" w:hAnsi="Cambria Math" w:eastAsia="宋体" w:cs="宋体"/>
                      <w:snapToGrid w:val="0"/>
                      <w:color w:val="000000"/>
                      <w:spacing w:val="7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</m:nary>
          <m:sSub>
            <m:sSubP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s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s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  <m:t>q</m:t>
              </m:r>
              <m:ctrlPr>
                <w:rPr>
                  <w:rFonts w:hint="default" w:ascii="Cambria Math" w:hAnsi="Cambria Math" w:eastAsia="宋体" w:cs="宋体"/>
                  <w:snapToGrid w:val="0"/>
                  <w:color w:val="000000"/>
                  <w:spacing w:val="7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napToGrid w:val="0"/>
              <w:color w:val="000000"/>
              <w:spacing w:val="7"/>
              <w:kern w:val="0"/>
              <w:sz w:val="24"/>
              <w:szCs w:val="24"/>
              <w:lang w:val="en-US" w:eastAsia="zh-CN" w:bidi="ar-SA"/>
            </w:rPr>
            <m:t xml:space="preserve">                                                               (5)  </m:t>
          </m:r>
        </m:oMath>
      </m:oMathPara>
    </w:p>
    <w:p w14:paraId="71676EF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其中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为自旋耦合系数，整合主波束、旁瓣与谐波的权重信息：</w:t>
      </w:r>
    </w:p>
    <w:p w14:paraId="55ED9EE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 xml:space="preserve">                                    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w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main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⋅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)+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w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⋅</m:t>
        </m:r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                                        (6)</m:t>
        </m:r>
      </m:oMath>
      <w:r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</w:p>
    <w:p w14:paraId="2A12EE9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1E5D6AF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：目标方向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的时空耦合系数；</w:t>
      </w:r>
    </w:p>
    <w:p w14:paraId="43FC350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</w:t>
      </w:r>
      <m:oMath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：旁瓣区域的平均时空耦合系数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n>
        </m:f>
        <m:nary>
          <m:naryPr>
            <m:chr m:val="∑"/>
            <m:limLoc m:val="undOvr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k=1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pq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nary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))</m:t>
        </m:r>
      </m:oMath>
    </w:p>
    <w:p w14:paraId="36C6318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79" w:leftChars="228" w:firstLine="0" w:firstLineChars="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由于 QUBO 模型采用二进制变量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∈{0,1}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，需通过标准映射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=2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−1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转化，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最终 QUBO 系数结果</w:t>
      </w: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</w:t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</w:p>
    <w:p w14:paraId="1ECB5DA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线性项（对角项）：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=2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q≠p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J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pq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nary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；</w:t>
      </w:r>
    </w:p>
    <w:p w14:paraId="60585C3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二次项（非对角项）：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=−8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 (p&lt;q)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；</w:t>
      </w:r>
    </w:p>
    <w:p w14:paraId="1C5FB48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QUBO 矩阵形式：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Q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1bit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  <m:scr m:val="double-struck"/>
              </m:rPr>
              <w:rPr>
                <w:rFonts w:hint="default" w:ascii="Cambria Math" w:hAnsi="Cambria Math" w:eastAsia="MS Mincho" w:cs="MS Mincho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ℝ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N×N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（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N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为自旋变量总数）</w:t>
      </w:r>
    </w:p>
    <w:p w14:paraId="3C9B209A">
      <w:pPr>
        <w:bidi w:val="0"/>
        <w:rPr>
          <w:rFonts w:hint="default"/>
          <w:lang w:val="en-US" w:eastAsia="zh-CN"/>
        </w:rPr>
        <w:sectPr>
          <w:pgSz w:w="12240" w:h="15840"/>
          <w:pgMar w:top="458" w:right="1028" w:bottom="0" w:left="1147" w:header="0" w:footer="0" w:gutter="0"/>
          <w:cols w:space="720" w:num="1"/>
        </w:sectPr>
      </w:pPr>
    </w:p>
    <w:p w14:paraId="704B6882">
      <w:pPr>
        <w:pStyle w:val="4"/>
        <w:bidi w:val="0"/>
        <w:rPr>
          <w:sz w:val="30"/>
          <w:szCs w:val="30"/>
          <w:lang w:val="en-US" w:eastAsia="en-US"/>
        </w:rPr>
      </w:pPr>
      <w:r>
        <w:rPr>
          <w:sz w:val="30"/>
          <w:szCs w:val="30"/>
          <w:lang w:val="en-US" w:eastAsia="en-US"/>
        </w:rPr>
        <w:t>三、2 比特编码 QUBO 模型推导</w:t>
      </w:r>
    </w:p>
    <w:p w14:paraId="16AD3269"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 反射系数与自旋变量的物理映射</w:t>
      </w:r>
    </w:p>
    <w:p w14:paraId="7AFDAB2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2 比特编码中，单个超原子的反射系数由 2 个自旋变量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∈{−1,1})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线性组合表示：</w:t>
      </w:r>
    </w:p>
    <w:p w14:paraId="2A47F16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3360" w:firstLineChars="1400"/>
        <w:textAlignment w:val="baseline"/>
        <w:rPr>
          <w:rFonts w:hint="default" w:ascii="Cambria Math" w:hAnsi="Cambria Math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r>
          <m:rPr/>
          <w:rPr>
            <w:rFonts w:hint="default" w:ascii="Cambria Math" w:hAnsi="Cambria Math" w:eastAsia="宋体"/>
            <w:sz w:val="24"/>
          </w:rPr>
          <m:t>Γp=c1sp1+c2sp2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                           </w:t>
      </w:r>
      <w:r>
        <w:rPr>
          <w:rFonts w:hint="eastAsia" w:ascii="Cambria Math" w:hAnsi="Cambria Math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(7)</w:t>
      </w:r>
    </w:p>
    <w:p w14:paraId="337D605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 其中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为编码系数，需满足纯相位约束</w:t>
      </w:r>
      <m:oMath>
        <m:r>
          <m:rPr>
            <m:sty m:val="p"/>
          </m:rPr>
          <w:rPr>
            <w:rFonts w:hint="default" w:ascii="Cambria Math" w:hAnsi="宋体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|=1</m:t>
        </m:r>
      </m:oMath>
      <w:r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与相位均匀分布（4 种相位间隔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π/2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），</w:t>
      </w: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推导过程如下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由于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∈{−1,1}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的所有可能取值为：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                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∈{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,−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,−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}                                       (8)</m:t>
        </m:r>
      </m:oMath>
      <w:r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  </w:t>
      </w:r>
    </w:p>
    <w:p w14:paraId="1D14895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对任意组合（如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c1+c2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），展开模的平方：</w:t>
      </w:r>
    </w:p>
    <w:p w14:paraId="1E6D059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 xml:space="preserve">         |c1+c2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=(c1+c2)(c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)=|c1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+|c2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+c1c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c2=1                   (9)</m:t>
        </m:r>
      </m:oMath>
      <w:r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</w:p>
    <w:p w14:paraId="2B6F2D4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对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c1−c2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展开模的平方：</w:t>
      </w:r>
    </w:p>
    <w:p w14:paraId="027CD41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|c1−c2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=(c1−c2)(c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)=|c1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+|c2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−(c1c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c2)=1                (10)</m:t>
        </m:r>
      </m:oMath>
      <w:r>
        <w:rPr>
          <w:rFonts w:hint="eastAsia" w:hAnsi="Cambria Math" w:eastAsia="宋体" w:cs="宋体"/>
          <w:i w:val="0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</w:t>
      </w:r>
    </w:p>
    <w:p w14:paraId="4CFB9B2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59B191F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508" w:hanging="508" w:hanging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两式联立，得到 2 个关键约束（</w:t>
      </w:r>
      <m:oMath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表示复数共轭）：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归一化条件：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|c1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+|c2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=1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（系数模的平方和为 1）；​</w:t>
      </w:r>
    </w:p>
    <w:p w14:paraId="5B43AD5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正交条件：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c1c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+c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c2=0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（系数交叉项实部为 0）。</w:t>
      </w:r>
    </w:p>
    <w:p w14:paraId="3B0E1D3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为简化计算且符合正交条件，设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为实数、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为纯虚数：</w:t>
      </w:r>
    </w:p>
    <w:p w14:paraId="0C90FE3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令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c1=a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a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为实数），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c2=b⋅j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b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为实数，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j=</m:t>
        </m:r>
        <m:rad>
          <m:radPr>
            <m:deg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−1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rad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</w:t>
      </w:r>
    </w:p>
    <w:p w14:paraId="376F971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代入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|c1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+|c2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|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，得 </w:t>
      </w:r>
      <m:oMath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。</w:t>
      </w:r>
    </w:p>
    <w:p w14:paraId="3D60783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为实现 “2 比特 4 种相位均匀分布（间隔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π/2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）”，取对称值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a=b=1/</m:t>
        </m:r>
        <m:rad>
          <m:radPr>
            <m:deg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rad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，最终：</w:t>
      </w:r>
    </w:p>
    <w:p w14:paraId="2EF4530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c1=1/</m:t>
        </m:r>
        <m:rad>
          <m:radPr>
            <m:deg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rad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（实数，满足归一化）；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 • 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c2=</m:t>
        </m:r>
        <m:f>
          <m:f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radPr>
              <m:deg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</m:rad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fPr>
          <m:num>
            <m:func>
              <m:func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exp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(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jπ/2)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radPr>
              <m:deg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eastAsia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</m:rad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 （纯虚数，满足正交与归一化）。</w:t>
      </w:r>
    </w:p>
    <w:p w14:paraId="4F7337EF"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 哈密顿量简化与 QUBO 系数</w:t>
      </w:r>
    </w:p>
    <w:p w14:paraId="1666A9E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代入式 (3) 后，哈密顿量含“自旋-自旋跨比特耦合项”：</w:t>
      </w:r>
    </w:p>
    <w:p w14:paraId="1A76143E"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  <m:oMathPara>
        <m:oMath>
          <m:r>
            <m:rPr/>
            <w:rPr>
              <w:rFonts w:hint="default" w:ascii="Cambria Math" w:hAnsi="Cambria Math" w:eastAsia="宋体"/>
              <w:sz w:val="24"/>
              <w:lang w:val="en-US" w:eastAsia="zh-CN"/>
            </w:rPr>
            <m:t xml:space="preserve">                                                     </m:t>
          </m:r>
          <m:r>
            <m:rPr/>
            <w:rPr>
              <w:rFonts w:hint="default" w:ascii="Cambria Math" w:hAnsi="Cambria Math" w:eastAsia="宋体"/>
              <w:sz w:val="24"/>
            </w:rPr>
            <m:t>H=−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eastAsia="宋体"/>
                  <w:sz w:val="24"/>
                </w:rPr>
              </m:ctrlPr>
            </m:naryPr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p,q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  <m:sup>
              <m:ctrlPr>
                <w:rPr>
                  <w:rFonts w:ascii="Cambria Math" w:hAnsi="Cambria Math" w:eastAsia="宋体"/>
                  <w:sz w:val="24"/>
                </w:rPr>
              </m:ctrlPr>
            </m:sup>
            <m:e>
              <m:nary>
                <m:naryPr>
                  <m:chr m:val="∑"/>
                  <m:limLoc m:val="undOvr"/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a,b=1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p>
                <m:e>
                  <m:sSubSup>
                    <m:sSubSupPr>
                      <m:ctrlPr>
                        <w:rPr>
                          <w:rFonts w:hint="default" w:ascii="Cambria Math" w:hAnsi="Cambria Math" w:eastAsia="宋体"/>
                          <w:sz w:val="24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/>
                          <w:sz w:val="24"/>
                        </w:rPr>
                        <m:t>J</m:t>
                      </m:r>
                      <m:ctrlPr>
                        <w:rPr>
                          <w:rFonts w:ascii="Cambria Math" w:hAnsi="Cambria Math" w:eastAsia="宋体"/>
                          <w:sz w:val="24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/>
                          <w:sz w:val="24"/>
                        </w:rPr>
                        <m:t>pq</m:t>
                      </m:r>
                      <m:ctrlPr>
                        <w:rPr>
                          <w:rFonts w:ascii="Cambria Math" w:hAnsi="Cambria Math" w:eastAsia="宋体"/>
                          <w:sz w:val="24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/>
                          <w:sz w:val="24"/>
                        </w:rPr>
                        <m:t>a,b</m:t>
                      </m:r>
                      <m:ctrlPr>
                        <w:rPr>
                          <w:rFonts w:ascii="Cambria Math" w:hAnsi="Cambria Math" w:eastAsia="宋体"/>
                          <w:sz w:val="24"/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e>
              </m:nary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</m:nary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s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pa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s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qb</m:t>
              </m:r>
              <m:r>
                <m:rPr/>
                <w:rPr>
                  <w:rFonts w:hint="default" w:ascii="Cambria Math" w:hAnsi="Cambria Math" w:eastAsia="宋体"/>
                  <w:sz w:val="24"/>
                  <w:lang w:val="en-US" w:eastAsia="zh-CN"/>
                </w:rPr>
                <m:t xml:space="preserve">                                                                      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/>
              <w:sz w:val="24"/>
              <w:lang w:val="en-US" w:eastAsia="zh-CN"/>
            </w:rPr>
            <m:t xml:space="preserve">      (11)</m:t>
          </m:r>
        </m:oMath>
      </m:oMathPara>
    </w:p>
    <w:p w14:paraId="053DA940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54113AB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其中 </w:t>
      </w:r>
      <m:oMath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a,b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</w:t>
      </w:r>
      <m:oMath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的共轭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,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a,b=1,2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对应两个自旋比特），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同 1 比特定义。</w:t>
      </w:r>
    </w:p>
    <w:p w14:paraId="0651B7D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10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转化为 QUBO 模型:</w:t>
      </w:r>
    </w:p>
    <w:p w14:paraId="3051731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线性项（对角项）：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=4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(q,b)≠(p,a)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Sup>
              <m:sSubSupP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J</m:t>
                </m: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pq</m:t>
                </m: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  <m:t>a,b</m:t>
                </m:r>
                <m:ctrlPr>
                  <w:rPr>
                    <w:rFonts w:hint="default" w:ascii="Cambria Math" w:hAnsi="Cambria Math" w:eastAsia="宋体" w:cs="宋体"/>
                    <w:snapToGrid w:val="0"/>
                    <w:color w:val="000000"/>
                    <w:spacing w:val="7"/>
                    <w:kern w:val="0"/>
                    <w:sz w:val="24"/>
                    <w:szCs w:val="24"/>
                    <w:lang w:val="en-US" w:eastAsia="zh-CN" w:bidi="ar-SA"/>
                  </w:rPr>
                </m:ctrlPr>
              </m:sup>
            </m:sSubSup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nary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;</w:t>
      </w:r>
    </w:p>
    <w:p w14:paraId="0EB74A0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二次项（非对角项）：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pa,qb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=−8</m:t>
        </m:r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a,b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 (pa&lt;qb)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;</w:t>
      </w:r>
    </w:p>
    <w:p w14:paraId="608BBAB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(索引规则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pa&lt;qb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表示先比较超原子索引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p&lt;q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，若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p=q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则比较比特索引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a&lt;b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)</w:t>
      </w:r>
    </w:p>
    <w:p w14:paraId="6C2467B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QUBO 矩阵形式：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2bit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</m:t>
        </m:r>
        <m:sSup>
          <m:s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  <m:scr m:val="double-struck"/>
              </m:rPr>
              <w:rPr>
                <w:rFonts w:hint="default" w:ascii="Cambria Math" w:hAnsi="Cambria Math" w:eastAsia="MS Mincho" w:cs="MS Mincho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ℝ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2N×2N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p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 （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N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为超原子总数，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2N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为自旋变量总数）。</w:t>
      </w:r>
    </w:p>
    <w:p w14:paraId="5F170CAD">
      <w:pPr>
        <w:keepNext w:val="0"/>
        <w:keepLines w:val="0"/>
        <w:widowControl/>
        <w:suppressLineNumbers w:val="0"/>
        <w:jc w:val="left"/>
        <w:rPr>
          <w:rFonts w:hint="eastAsia" w:hAnsi="Cambria Math" w:eastAsia="宋体"/>
          <w:i w:val="0"/>
          <w:sz w:val="21"/>
          <w:lang w:val="en-US" w:eastAsia="zh-CN"/>
        </w:rPr>
      </w:pPr>
    </w:p>
    <w:p w14:paraId="47996DAB">
      <w:pPr>
        <w:spacing w:line="244" w:lineRule="auto"/>
        <w:rPr>
          <w:rFonts w:ascii="Arial"/>
          <w:sz w:val="21"/>
        </w:rPr>
      </w:pPr>
    </w:p>
    <w:p w14:paraId="2985F084">
      <w:pPr>
        <w:pStyle w:val="4"/>
        <w:bidi w:val="0"/>
        <w:rPr>
          <w:sz w:val="30"/>
          <w:szCs w:val="30"/>
          <w:lang w:val="en-US" w:eastAsia="en-US"/>
        </w:rPr>
      </w:pPr>
      <w:r>
        <w:rPr>
          <w:sz w:val="30"/>
          <w:szCs w:val="30"/>
          <w:lang w:val="en-US" w:eastAsia="en-US"/>
        </w:rPr>
        <w:t>四、旁瓣抑制的整合逻辑</w:t>
      </w:r>
    </w:p>
    <w:p w14:paraId="1676A2D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旁瓣抑制通过 “修正时空耦合系数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”实现，核心是将旁瓣区域的功率贡献整合到自旋耦合系数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中，具体步骤如下</w:t>
      </w: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</w:p>
    <w:p w14:paraId="6D39CE67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m:oMathPara>
        <m:oMath>
          <m:sSubSup>
            <m:sSubSupPr>
              <m:ctrlPr>
                <w:rPr>
                  <w:rFonts w:hint="default" w:ascii="Cambria Math" w:hAnsi="Cambria Math" w:eastAsia="宋体"/>
                  <w:sz w:val="24"/>
                </w:rPr>
              </m:ctrlPr>
            </m:sSubSupPr>
            <m:e>
              <m:r>
                <m:rPr/>
                <w:rPr>
                  <w:rFonts w:hint="default" w:ascii="Cambria Math" w:hAnsi="Cambria Math" w:eastAsia="宋体"/>
                  <w:sz w:val="24"/>
                  <w:lang w:val="en-US" w:eastAsia="zh-CN"/>
                </w:rPr>
                <m:t xml:space="preserve">                          </m:t>
              </m:r>
              <m:r>
                <m:rPr/>
                <w:rPr>
                  <w:rFonts w:hint="default" w:ascii="Cambria Math" w:hAnsi="Cambria Math" w:eastAsia="宋体"/>
                  <w:sz w:val="24"/>
                </w:rPr>
                <m:t>A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pq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eastAsia="宋体"/>
                  <w:sz w:val="24"/>
                </w:rPr>
                <m:t>total</m:t>
              </m:r>
              <m:ctrlPr>
                <w:rPr>
                  <w:rFonts w:ascii="Cambria Math" w:hAnsi="Cambria Math" w:eastAsia="宋体"/>
                  <w:sz w:val="24"/>
                </w:rPr>
              </m:ctrlPr>
            </m:sup>
          </m:sSubSup>
          <m:r>
            <m:rPr/>
            <w:rPr>
              <w:rFonts w:hint="default" w:ascii="Cambria Math" w:hAnsi="Cambria Math" w:eastAsia="宋体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w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/>
                  <w:sz w:val="24"/>
                </w:rPr>
                <m:t>main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A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pq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r>
            <m:rPr/>
            <w:rPr>
              <w:rFonts w:hint="default" w:ascii="Cambria Math" w:hAnsi="Cambria Math" w:eastAsia="宋体"/>
              <w:sz w:val="24"/>
            </w:rPr>
            <m:t>(</m:t>
          </m:r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θ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r>
            <m:rPr/>
            <w:rPr>
              <w:rFonts w:hint="default" w:ascii="Cambria Math" w:hAnsi="Cambria Math" w:eastAsia="宋体"/>
              <w:sz w:val="24"/>
            </w:rPr>
            <m:t>,</m:t>
          </m:r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φ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r>
            <m:rPr/>
            <w:rPr>
              <w:rFonts w:hint="default" w:ascii="Cambria Math" w:hAnsi="Cambria Math" w:eastAsia="宋体"/>
              <w:sz w:val="24"/>
            </w:rPr>
            <m:t>)+</m:t>
          </m:r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w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/>
                  <w:sz w:val="24"/>
                </w:rPr>
                <m:t>side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f>
            <m:fPr>
              <m:ctrlPr>
                <w:rPr>
                  <w:rFonts w:hint="default" w:ascii="Cambria Math" w:hAnsi="Cambria Math" w:eastAsia="宋体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 w:eastAsia="宋体"/>
                  <w:sz w:val="24"/>
                </w:rPr>
                <m:t>1</m:t>
              </m:r>
              <m:ctrlPr>
                <w:rPr>
                  <w:rFonts w:ascii="Cambria Math" w:hAnsi="Cambria Math" w:eastAsia="宋体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 w:eastAsia="宋体"/>
                  <w:sz w:val="24"/>
                </w:rPr>
                <m:t>K</m:t>
              </m:r>
              <m:ctrlPr>
                <w:rPr>
                  <w:rFonts w:ascii="Cambria Math" w:hAnsi="Cambria Math" w:eastAsia="宋体"/>
                  <w:sz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hint="default" w:ascii="Cambria Math" w:hAnsi="Cambria Math" w:eastAsia="宋体"/>
                  <w:sz w:val="24"/>
                </w:rPr>
              </m:ctrlPr>
            </m:naryPr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k=1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  <m:sup>
              <m:r>
                <m:rPr/>
                <w:rPr>
                  <w:rFonts w:hint="default" w:ascii="Cambria Math" w:hAnsi="Cambria Math" w:eastAsia="宋体"/>
                  <w:sz w:val="24"/>
                </w:rPr>
                <m:t>K</m:t>
              </m:r>
              <m:ctrlPr>
                <w:rPr>
                  <w:rFonts w:ascii="Cambria Math" w:hAnsi="Cambria Math" w:eastAsia="宋体"/>
                  <w:sz w:val="24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A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pq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</m:nary>
          <m:r>
            <m:rPr/>
            <w:rPr>
              <w:rFonts w:hint="default" w:ascii="Cambria Math" w:hAnsi="Cambria Math" w:eastAsia="宋体"/>
              <w:sz w:val="24"/>
            </w:rPr>
            <m:t>(</m:t>
          </m:r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θ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k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sub>
          </m:sSub>
          <m:r>
            <m:rPr/>
            <w:rPr>
              <w:rFonts w:hint="default" w:ascii="Cambria Math" w:hAnsi="Cambria Math" w:eastAsia="宋体"/>
              <w:sz w:val="24"/>
            </w:rPr>
            <m:t>,</m:t>
          </m:r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φ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0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sub>
          </m:sSub>
          <m:r>
            <m:rPr/>
            <w:rPr>
              <w:rFonts w:hint="default" w:ascii="Cambria Math" w:hAnsi="Cambria Math" w:eastAsia="宋体"/>
              <w:sz w:val="24"/>
            </w:rPr>
            <m:t>)</m:t>
          </m:r>
          <m:r>
            <m:rPr/>
            <w:rPr>
              <w:rFonts w:hint="default" w:ascii="Cambria Math" w:hAnsi="Cambria Math" w:eastAsia="宋体"/>
              <w:sz w:val="24"/>
              <w:lang w:val="en-US" w:eastAsia="zh-CN"/>
            </w:rPr>
            <m:t xml:space="preserve">                             (12)   </m:t>
          </m:r>
        </m:oMath>
      </m:oMathPara>
    </w:p>
    <w:p w14:paraId="5F06F26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•旁瓣离散角度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集：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side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={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∣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∉[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−Δ,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+Δ],k=1,2,...,K}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：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（实验中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K=20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，</m:t>
            </m:r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∈[−π/2,π/2]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；</w:t>
      </w:r>
    </w:p>
    <w:p w14:paraId="7296FAE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φ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为超原子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p,q</m:t>
        </m:r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在旁瓣角度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下的时空耦合系数；</w:t>
      </w:r>
    </w:p>
    <w:p w14:paraId="73651B5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•  </w:t>
      </w: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更新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， 1 比特编码中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=Re(</m:t>
        </m:r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total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 ，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2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比特编码中</w:t>
      </w:r>
      <m:oMath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a,b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∗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⋅Re(</m:t>
        </m:r>
        <m:sSubSup>
          <m:sSubSup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pq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total</m:t>
            </m: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)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，（取实部，因哈密顿量需为实数）</w:t>
      </w:r>
    </w:p>
    <w:p w14:paraId="0217749A">
      <w:pPr>
        <w:spacing w:line="342" w:lineRule="auto"/>
        <w:rPr>
          <w:rFonts w:hint="eastAsia" w:ascii="宋体" w:hAnsi="宋体" w:eastAsia="宋体" w:cs="宋体"/>
          <w:spacing w:val="10"/>
          <w:lang w:eastAsia="zh-CN"/>
        </w:rPr>
      </w:pPr>
    </w:p>
    <w:p w14:paraId="607FF501">
      <w:pPr>
        <w:pStyle w:val="4"/>
        <w:bidi w:val="0"/>
        <w:rPr>
          <w:sz w:val="30"/>
          <w:szCs w:val="30"/>
          <w:lang w:val="en-US" w:eastAsia="en-US"/>
        </w:rPr>
      </w:pPr>
      <w:r>
        <w:rPr>
          <w:sz w:val="30"/>
          <w:szCs w:val="30"/>
          <w:lang w:val="en-US" w:eastAsia="en-US"/>
        </w:rPr>
        <w:t>五、建模步骤总结</w:t>
      </w:r>
    </w:p>
    <w:p w14:paraId="4A1A1D60">
      <w:pPr>
        <w:spacing w:line="108" w:lineRule="exact"/>
      </w:pPr>
    </w:p>
    <w:tbl>
      <w:tblPr>
        <w:tblStyle w:val="12"/>
        <w:tblW w:w="10016" w:type="dxa"/>
        <w:tblInd w:w="284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86"/>
        <w:gridCol w:w="3098"/>
        <w:gridCol w:w="4632"/>
      </w:tblGrid>
      <w:tr w14:paraId="60F83D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7941F35D">
            <w:pPr>
              <w:spacing w:before="246" w:line="228" w:lineRule="auto"/>
              <w:ind w:left="16"/>
              <w:jc w:val="center"/>
              <w:rPr>
                <w:rFonts w:ascii="黑体" w:hAnsi="黑体" w:eastAsia="黑体" w:cs="黑体"/>
                <w:sz w:val="21"/>
                <w:szCs w:val="21"/>
              </w:rPr>
            </w:pPr>
            <w:r>
              <w:rPr>
                <w:rFonts w:ascii="黑体" w:hAnsi="黑体" w:eastAsia="黑体" w:cs="黑体"/>
                <w:sz w:val="21"/>
                <w:szCs w:val="21"/>
              </w:rPr>
              <w:t>步骤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0838A536">
            <w:pPr>
              <w:pStyle w:val="13"/>
              <w:spacing w:before="246" w:line="228" w:lineRule="auto"/>
              <w:ind w:left="203"/>
              <w:jc w:val="center"/>
              <w:rPr>
                <w:rFonts w:ascii="黑体" w:hAnsi="黑体" w:eastAsia="黑体" w:cs="黑体"/>
              </w:rPr>
            </w:pPr>
            <w:r>
              <w:rPr>
                <w:b/>
                <w:bCs/>
                <w:spacing w:val="3"/>
              </w:rPr>
              <w:t>1</w:t>
            </w:r>
            <w:r>
              <w:rPr>
                <w:b/>
                <w:bCs/>
                <w:spacing w:val="50"/>
                <w:w w:val="101"/>
              </w:rPr>
              <w:t xml:space="preserve"> </w:t>
            </w:r>
            <w:r>
              <w:rPr>
                <w:rFonts w:ascii="黑体" w:hAnsi="黑体" w:eastAsia="黑体" w:cs="黑体"/>
                <w:spacing w:val="3"/>
              </w:rPr>
              <w:t>比特编码</w:t>
            </w:r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1F8DC60C">
            <w:pPr>
              <w:pStyle w:val="13"/>
              <w:spacing w:before="246" w:line="228" w:lineRule="auto"/>
              <w:ind w:left="456"/>
              <w:jc w:val="center"/>
              <w:rPr>
                <w:rFonts w:ascii="黑体" w:hAnsi="黑体" w:eastAsia="黑体" w:cs="黑体"/>
              </w:rPr>
            </w:pPr>
            <w:r>
              <w:rPr>
                <w:b/>
                <w:bCs/>
                <w:spacing w:val="4"/>
              </w:rPr>
              <w:t>2</w:t>
            </w:r>
            <w:r>
              <w:rPr>
                <w:b/>
                <w:bCs/>
                <w:spacing w:val="50"/>
                <w:w w:val="101"/>
              </w:rPr>
              <w:t xml:space="preserve"> </w:t>
            </w:r>
            <w:r>
              <w:rPr>
                <w:rFonts w:ascii="黑体" w:hAnsi="黑体" w:eastAsia="黑体" w:cs="黑体"/>
                <w:spacing w:val="4"/>
              </w:rPr>
              <w:t>比特编码</w:t>
            </w:r>
          </w:p>
        </w:tc>
      </w:tr>
      <w:tr w14:paraId="5DE4451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6B6068A6">
            <w:pPr>
              <w:spacing w:before="240" w:line="230" w:lineRule="auto"/>
              <w:ind w:left="5"/>
              <w:jc w:val="center"/>
              <w:rPr>
                <w:rFonts w:ascii="黑体" w:hAnsi="黑体" w:eastAsia="黑体" w:cs="黑体"/>
                <w:sz w:val="21"/>
                <w:szCs w:val="21"/>
              </w:rPr>
            </w:pPr>
            <w:r>
              <w:rPr>
                <w:rFonts w:ascii="黑体" w:hAnsi="黑体" w:eastAsia="黑体" w:cs="黑体"/>
                <w:color w:val="000080"/>
                <w:spacing w:val="7"/>
                <w:sz w:val="21"/>
                <w:szCs w:val="21"/>
              </w:rPr>
              <w:t>定义物理参数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699C390D">
            <w:pPr>
              <w:pStyle w:val="13"/>
              <w:spacing w:before="264" w:line="254" w:lineRule="exact"/>
              <w:ind w:left="194"/>
              <w:jc w:val="center"/>
              <w:rPr>
                <w:rFonts w:hint="eastAsia" w:eastAsia="宋体"/>
                <w:sz w:val="15"/>
                <w:szCs w:val="15"/>
                <w:lang w:val="en-US" w:eastAsia="zh-CN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1"/>
                  </w:rPr>
                  <m:t>M,N,L,ℎ,</m:t>
                </m:r>
                <m:sSub>
                  <m:sSubPr>
                    <m:ctrlPr>
                      <w:rPr>
                        <w:rFonts w:hint="default" w:ascii="Cambria Math" w:hAnsi="Cambria Math"/>
                        <w:sz w:val="21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θ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0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z w:val="21"/>
                  </w:rPr>
                  <m:t>,</m:t>
                </m:r>
                <m:sSub>
                  <m:sSubPr>
                    <m:ctrlPr>
                      <w:rPr>
                        <w:rFonts w:hint="default" w:ascii="Cambria Math" w:hAnsi="Cambria Math"/>
                        <w:sz w:val="21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w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main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z w:val="21"/>
                  </w:rPr>
                  <m:t>,</m:t>
                </m:r>
                <m:sSub>
                  <m:sSubPr>
                    <m:ctrlPr>
                      <w:rPr>
                        <w:rFonts w:hint="default" w:ascii="Cambria Math" w:hAnsi="Cambria Math"/>
                        <w:sz w:val="21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w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side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sub>
                </m:sSub>
              </m:oMath>
            </m:oMathPara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7431223F">
            <w:pPr>
              <w:pStyle w:val="13"/>
              <w:spacing w:before="241" w:line="286" w:lineRule="exact"/>
              <w:ind w:left="453"/>
              <w:jc w:val="center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pacing w:val="4"/>
                <w:position w:val="2"/>
              </w:rPr>
              <w:t>增加编码系数</w:t>
            </w:r>
            <w:r>
              <w:rPr>
                <w:rFonts w:ascii="宋体" w:hAnsi="宋体" w:eastAsia="宋体" w:cs="宋体"/>
                <w:spacing w:val="-18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c</w:t>
            </w:r>
            <w:r>
              <w:rPr>
                <w:spacing w:val="4"/>
                <w:position w:val="2"/>
                <w:sz w:val="15"/>
                <w:szCs w:val="15"/>
              </w:rPr>
              <w:t>1</w:t>
            </w:r>
            <w:r>
              <w:rPr>
                <w:spacing w:val="4"/>
                <w:position w:val="2"/>
              </w:rPr>
              <w:t>, c</w:t>
            </w:r>
            <w:r>
              <w:rPr>
                <w:spacing w:val="4"/>
                <w:position w:val="2"/>
                <w:sz w:val="15"/>
                <w:szCs w:val="15"/>
              </w:rPr>
              <w:t>2</w:t>
            </w:r>
          </w:p>
        </w:tc>
      </w:tr>
      <w:tr w14:paraId="318451B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2F4E9FC9">
            <w:pPr>
              <w:pStyle w:val="13"/>
              <w:spacing w:before="185" w:line="229" w:lineRule="auto"/>
              <w:ind w:left="9"/>
              <w:jc w:val="center"/>
            </w:pPr>
            <w:r>
              <w:rPr>
                <w:rFonts w:ascii="黑体" w:hAnsi="黑体" w:eastAsia="黑体" w:cs="黑体"/>
                <w:color w:val="000080"/>
                <w:spacing w:val="6"/>
              </w:rPr>
              <w:t>计算耦合系数</w:t>
            </w:r>
            <w:r>
              <w:rPr>
                <w:rFonts w:ascii="黑体" w:hAnsi="黑体" w:eastAsia="黑体" w:cs="黑体"/>
                <w:color w:val="000080"/>
                <w:spacing w:val="-13"/>
              </w:rPr>
              <w:t xml:space="preserve"> </w:t>
            </w:r>
            <w:r>
              <w:rPr>
                <w:color w:val="000080"/>
                <w:spacing w:val="6"/>
              </w:rPr>
              <w:t>A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763D2DD0">
            <w:pPr>
              <w:pStyle w:val="13"/>
              <w:spacing w:before="185" w:line="281" w:lineRule="exact"/>
              <w:ind w:left="195"/>
              <w:jc w:val="center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pacing w:val="31"/>
                <w:position w:val="1"/>
              </w:rPr>
              <w:t>主波束</w:t>
            </w:r>
            <w:r>
              <w:rPr>
                <w:rFonts w:ascii="宋体" w:hAnsi="宋体" w:eastAsia="宋体" w:cs="宋体"/>
                <w:spacing w:val="-23"/>
                <w:position w:val="1"/>
              </w:rPr>
              <w:t xml:space="preserve"> </w:t>
            </w:r>
            <w:r>
              <w:t>A</w:t>
            </w:r>
            <w:r>
              <w:rPr>
                <w:spacing w:val="-46"/>
              </w:rPr>
              <w:t xml:space="preserve"> </w:t>
            </w:r>
            <w:r>
              <w:rPr>
                <w:sz w:val="15"/>
                <w:szCs w:val="15"/>
              </w:rPr>
              <w:t>main</w:t>
            </w:r>
            <w:r>
              <w:rPr>
                <w:spacing w:val="31"/>
                <w:position w:val="1"/>
              </w:rPr>
              <w:t>+</w:t>
            </w:r>
            <w:r>
              <w:rPr>
                <w:spacing w:val="33"/>
                <w:w w:val="101"/>
                <w:position w:val="1"/>
              </w:rPr>
              <w:t xml:space="preserve"> </w:t>
            </w:r>
            <w:r>
              <w:rPr>
                <w:rFonts w:ascii="宋体" w:hAnsi="宋体" w:eastAsia="宋体" w:cs="宋体"/>
                <w:spacing w:val="31"/>
                <w:position w:val="1"/>
              </w:rPr>
              <w:t>旁瓣</w:t>
            </w:r>
            <w:r>
              <w:rPr>
                <w:rFonts w:ascii="宋体" w:hAnsi="宋体" w:eastAsia="宋体" w:cs="宋体"/>
                <w:spacing w:val="-25"/>
                <w:position w:val="1"/>
              </w:rPr>
              <w:t xml:space="preserve"> </w:t>
            </w:r>
            <w:r>
              <w:rPr>
                <w:position w:val="1"/>
              </w:rPr>
              <w:t>A</w:t>
            </w:r>
            <w:r>
              <w:rPr>
                <w:position w:val="-1"/>
                <w:sz w:val="15"/>
                <w:szCs w:val="15"/>
              </w:rPr>
              <w:t>side</w:t>
            </w:r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66C86C8D">
            <w:pPr>
              <w:spacing w:before="185" w:line="229" w:lineRule="auto"/>
              <w:ind w:left="473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同左</w:t>
            </w:r>
          </w:p>
        </w:tc>
      </w:tr>
      <w:tr w14:paraId="44477DB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1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6E172272">
            <w:pPr>
              <w:pStyle w:val="13"/>
              <w:spacing w:before="188" w:line="300" w:lineRule="auto"/>
              <w:ind w:left="16" w:right="227" w:hanging="11"/>
              <w:jc w:val="center"/>
            </w:pPr>
            <w:r>
              <w:rPr>
                <w:rFonts w:ascii="黑体" w:hAnsi="黑体" w:eastAsia="黑体" w:cs="黑体"/>
                <w:color w:val="000080"/>
                <w:spacing w:val="7"/>
              </w:rPr>
              <w:t>构建自旋耦合矩</w:t>
            </w:r>
            <w:r>
              <w:rPr>
                <w:rFonts w:ascii="黑体" w:hAnsi="黑体" w:eastAsia="黑体" w:cs="黑体"/>
                <w:color w:val="000080"/>
                <w:spacing w:val="16"/>
              </w:rPr>
              <w:t>阵</w:t>
            </w:r>
            <w:r>
              <w:rPr>
                <w:rFonts w:ascii="黑体" w:hAnsi="黑体" w:eastAsia="黑体" w:cs="黑体"/>
                <w:color w:val="000080"/>
                <w:spacing w:val="-6"/>
              </w:rPr>
              <w:t xml:space="preserve"> </w:t>
            </w:r>
            <w:r>
              <w:rPr>
                <w:color w:val="000080"/>
                <w:spacing w:val="16"/>
              </w:rPr>
              <w:t>J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047DD46D">
            <w:pPr>
              <w:pStyle w:val="13"/>
              <w:spacing w:before="212" w:line="225" w:lineRule="auto"/>
              <w:ind w:left="200"/>
              <w:jc w:val="center"/>
              <w:rPr>
                <w:rFonts w:hint="eastAsia" w:eastAsia="宋体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sz w:val="21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J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pq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z w:val="21"/>
                  </w:rPr>
                  <m:t>=Re(</m:t>
                </m:r>
                <m:sSub>
                  <m:sSubPr>
                    <m:ctrlPr>
                      <w:rPr>
                        <w:rFonts w:hint="default" w:ascii="Cambria Math" w:hAnsi="Cambria Math"/>
                        <w:sz w:val="21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A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1"/>
                      </w:rPr>
                      <m:t>total</m:t>
                    </m:r>
                    <m:ctrlPr>
                      <w:rPr>
                        <w:rFonts w:ascii="Cambria Math" w:hAnsi="Cambria Math"/>
                        <w:sz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eastAsia="宋体"/>
                    <w:sz w:val="21"/>
                    <w:lang w:val="en-US" w:eastAsia="zh-CN"/>
                  </w:rPr>
                  <m:t>)</m:t>
                </m:r>
              </m:oMath>
            </m:oMathPara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4527932B">
            <w:pPr>
              <w:pStyle w:val="13"/>
              <w:spacing w:before="149" w:line="336" w:lineRule="exact"/>
              <w:ind w:left="459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3"/>
                    <w:sz w:val="21"/>
                    <w:szCs w:val="21"/>
                    <w:lang w:val="en-US" w:bidi="ar-SA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EQ \∗ jc3 \∗ hps15 \o\al(\s\up 5(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w w:val="118"/>
                    <w:kern w:val="0"/>
                    <w:position w:val="3"/>
                    <w:sz w:val="15"/>
                    <w:szCs w:val="15"/>
                    <w:lang w:val="en-US" w:bidi="ar-SA"/>
                  </w:rPr>
                  <m:t xml:space="preserve">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),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w w:val="109"/>
                    <w:kern w:val="0"/>
                    <w:position w:val="-3"/>
                    <w:sz w:val="15"/>
                    <w:szCs w:val="15"/>
                    <w:lang w:val="en-US" w:bidi="ar-SA"/>
                  </w:rPr>
                  <m:t xml:space="preserve"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)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EQ \∗ jc3 \∗ hps15 \o\al(\s\up 5(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w w:val="101"/>
                    <w:kern w:val="0"/>
                    <w:position w:val="3"/>
                    <w:sz w:val="15"/>
                    <w:szCs w:val="15"/>
                    <w:lang w:val="en-US" w:bidi="ar-SA"/>
                  </w:rPr>
                  <m:t xml:space="preserve">q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),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w w:val="74"/>
                    <w:kern w:val="0"/>
                    <w:position w:val="-3"/>
                    <w:sz w:val="15"/>
                    <w:szCs w:val="15"/>
                    <w:lang w:val="en-US" w:bidi="ar-SA"/>
                  </w:rPr>
                  <m:t xml:space="preserve"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)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50"/>
                    <w:kern w:val="0"/>
                    <w:position w:val="-3"/>
                    <w:sz w:val="21"/>
                    <w:szCs w:val="21"/>
                    <w:lang w:val="en-US" w:bidi="ar-S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3"/>
                    <w:sz w:val="21"/>
                    <w:szCs w:val="21"/>
                    <w:lang w:val="en-US" w:bidi="ar-SA"/>
                  </w:rPr>
                  <m:t>= Re(c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3"/>
                    <w:sz w:val="15"/>
                    <w:szCs w:val="15"/>
                    <w:lang w:val="en-US" w:bidi="ar-SA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3"/>
                    <w:sz w:val="21"/>
                    <w:szCs w:val="21"/>
                    <w:lang w:val="en-US" w:bidi="ar-SA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EQ \∗ jc3 \∗ hps15 \o\al(\s\up 4(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w w:val="113"/>
                    <w:kern w:val="0"/>
                    <w:position w:val="3"/>
                    <w:sz w:val="15"/>
                    <w:szCs w:val="15"/>
                    <w:lang w:val="en-US" w:bidi="ar-SA"/>
                  </w:rPr>
                  <m:t xml:space="preserve">∗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),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w w:val="96"/>
                    <w:kern w:val="0"/>
                    <w:position w:val="-3"/>
                    <w:sz w:val="15"/>
                    <w:szCs w:val="15"/>
                    <w:lang w:val="en-US" w:bidi="ar-SA"/>
                  </w:rPr>
                  <m:t xml:space="preserve"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m:t xml:space="preserve">)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kern w:val="0"/>
                    <w:sz w:val="21"/>
                    <w:szCs w:val="21"/>
                    <w:lang w:val="en-US" w:bidi="ar-SA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1"/>
                    <w:sz w:val="21"/>
                    <w:szCs w:val="21"/>
                    <w:lang w:val="en-US" w:bidi="ar-SA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-50"/>
                    <w:kern w:val="0"/>
                    <w:position w:val="1"/>
                    <w:sz w:val="21"/>
                    <w:szCs w:val="21"/>
                    <w:lang w:val="en-US" w:bidi="ar-S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1"/>
                    <w:sz w:val="15"/>
                    <w:szCs w:val="15"/>
                    <w:lang w:val="en-US" w:bidi="ar-SA"/>
                  </w:rPr>
                  <m:t>total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napToGrid w:val="0"/>
                    <w:color w:val="000000"/>
                    <w:spacing w:val="17"/>
                    <w:kern w:val="0"/>
                    <w:position w:val="3"/>
                    <w:sz w:val="21"/>
                    <w:szCs w:val="21"/>
                    <w:lang w:val="en-US" w:bidi="ar-SA"/>
                  </w:rPr>
                  <m:t>)</m:t>
                </m:r>
              </m:oMath>
            </m:oMathPara>
          </w:p>
        </w:tc>
      </w:tr>
      <w:tr w14:paraId="4A2637A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08B53BB9">
            <w:pPr>
              <w:spacing w:line="241" w:lineRule="auto"/>
              <w:jc w:val="center"/>
              <w:rPr>
                <w:rFonts w:ascii="Arial"/>
                <w:sz w:val="21"/>
              </w:rPr>
            </w:pPr>
          </w:p>
          <w:p w14:paraId="607D44C7">
            <w:pPr>
              <w:pStyle w:val="13"/>
              <w:spacing w:before="68" w:line="202" w:lineRule="auto"/>
              <w:ind w:left="6"/>
              <w:jc w:val="center"/>
            </w:pPr>
            <w:r>
              <w:rPr>
                <w:rFonts w:ascii="黑体" w:hAnsi="黑体" w:eastAsia="黑体" w:cs="黑体"/>
                <w:color w:val="000080"/>
                <w:spacing w:val="44"/>
              </w:rPr>
              <w:t>转换为</w:t>
            </w:r>
            <w:r>
              <w:rPr>
                <w:rFonts w:ascii="黑体" w:hAnsi="黑体" w:eastAsia="黑体" w:cs="黑体"/>
                <w:color w:val="000080"/>
                <w:spacing w:val="-7"/>
              </w:rPr>
              <w:t xml:space="preserve"> </w:t>
            </w:r>
            <w:r>
              <w:rPr>
                <w:b/>
                <w:bCs/>
                <w:color w:val="000080"/>
              </w:rPr>
              <w:t>QUBO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2355219D">
            <w:pPr>
              <w:pStyle w:val="13"/>
              <w:spacing w:before="76" w:line="237" w:lineRule="auto"/>
              <w:ind w:left="196"/>
              <w:jc w:val="center"/>
              <w:rPr>
                <w:rFonts w:hint="eastAsia" w:eastAsia="宋体"/>
                <w:sz w:val="15"/>
                <w:szCs w:val="15"/>
                <w:lang w:val="en-US" w:eastAsia="zh-CN"/>
              </w:rPr>
            </w:pPr>
            <w:r>
              <w:rPr>
                <w:rFonts w:ascii="宋体" w:hAnsi="宋体" w:eastAsia="宋体" w:cs="宋体"/>
                <w:spacing w:val="16"/>
                <w:position w:val="1"/>
              </w:rPr>
              <w:t>线性项</w:t>
            </w:r>
            <m:oMath>
              <m:r>
                <m:rPr>
                  <m:sty m:val="p"/>
                </m:rPr>
                <w:rPr>
                  <w:rFonts w:ascii="Cambria Math" w:hAnsi="Cambria Math" w:eastAsia="宋体" w:cs="宋体"/>
                  <w:snapToGrid w:val="0"/>
                  <w:color w:val="000000"/>
                  <w:spacing w:val="16"/>
                  <w:kern w:val="0"/>
                  <w:position w:val="1"/>
                  <w:sz w:val="21"/>
                  <w:szCs w:val="21"/>
                  <w:lang w:val="en-US" w:bidi="ar-SA"/>
                </w:rPr>
                <m:t>：</m:t>
              </m:r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color w:val="000000"/>
                  <w:kern w:val="0"/>
                  <w:position w:val="1"/>
                  <w:sz w:val="21"/>
                  <w:szCs w:val="21"/>
                  <w:lang w:val="en-US" w:bidi="ar-SA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color w:val="000000"/>
                  <w:kern w:val="0"/>
                  <w:position w:val="-1"/>
                  <w:sz w:val="15"/>
                  <w:szCs w:val="15"/>
                  <w:lang w:val="en-US" w:bidi="ar-SA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color w:val="000000"/>
                  <w:spacing w:val="16"/>
                  <w:kern w:val="0"/>
                  <w:position w:val="-1"/>
                  <w:sz w:val="15"/>
                  <w:szCs w:val="15"/>
                  <w:lang w:val="en-US" w:bidi="ar-SA"/>
                </w:rPr>
                <m:t xml:space="preserve">  </m:t>
              </m:r>
            </m:oMath>
            <w:r>
              <w:rPr>
                <w:position w:val="-21"/>
                <w:sz w:val="15"/>
                <w:szCs w:val="15"/>
              </w:rPr>
              <w:drawing>
                <wp:inline distT="0" distB="0" distL="0" distR="0">
                  <wp:extent cx="419735" cy="257175"/>
                  <wp:effectExtent l="0" t="0" r="0" b="0"/>
                  <wp:docPr id="36" name="IM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 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2" cy="2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w w:val="101"/>
                <w:position w:val="-1"/>
                <w:sz w:val="15"/>
                <w:szCs w:val="15"/>
              </w:rPr>
              <w:t xml:space="preserve"> </w:t>
            </w:r>
            <m:oMath>
              <m:sSub>
                <m:sSubPr>
                  <m:ctrlPr>
                    <w:rPr>
                      <w:rFonts w:hint="default" w:ascii="Cambria Math" w:hAnsi="Cambria Math"/>
                      <w:sz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1"/>
                    </w:rPr>
                    <m:t>J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1"/>
                    </w:rPr>
                    <m:t>pq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sub>
              </m:sSub>
            </m:oMath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33A3DAE8">
            <w:pPr>
              <w:pStyle w:val="13"/>
              <w:spacing w:before="28"/>
              <w:ind w:left="455"/>
              <w:jc w:val="center"/>
            </w:pPr>
            <w:r>
              <w:rPr>
                <w:rFonts w:ascii="宋体" w:hAnsi="宋体" w:eastAsia="宋体" w:cs="宋体"/>
                <w:spacing w:val="13"/>
                <w:position w:val="5"/>
              </w:rPr>
              <w:t>线性项：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color w:val="000000"/>
                  <w:kern w:val="0"/>
                  <w:position w:val="5"/>
                  <w:sz w:val="21"/>
                  <w:szCs w:val="21"/>
                  <w:lang w:val="en-US" w:bidi="ar-SA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color w:val="000000"/>
                  <w:kern w:val="0"/>
                  <w:position w:val="2"/>
                  <w:sz w:val="15"/>
                  <w:szCs w:val="15"/>
                  <w:lang w:val="en-US" w:bidi="ar-SA"/>
                </w:rPr>
                <m:t>pa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color w:val="000000"/>
                  <w:spacing w:val="13"/>
                  <w:kern w:val="0"/>
                  <w:position w:val="2"/>
                  <w:sz w:val="15"/>
                  <w:szCs w:val="15"/>
                  <w:lang w:val="en-US" w:bidi="ar-SA"/>
                </w:rPr>
                <m:t xml:space="preserve"> </m:t>
              </m:r>
            </m:oMath>
            <w:r>
              <w:rPr>
                <w:spacing w:val="13"/>
                <w:position w:val="2"/>
                <w:sz w:val="15"/>
                <w:szCs w:val="15"/>
              </w:rPr>
              <w:t xml:space="preserve"> </w:t>
            </w:r>
            <w:r>
              <w:rPr>
                <w:spacing w:val="13"/>
                <w:position w:val="5"/>
              </w:rPr>
              <w:t xml:space="preserve">= 4 </w:t>
            </w:r>
            <w:r>
              <w:rPr>
                <w:position w:val="-18"/>
              </w:rPr>
              <w:drawing>
                <wp:inline distT="0" distB="0" distL="0" distR="0">
                  <wp:extent cx="724535" cy="302260"/>
                  <wp:effectExtent l="0" t="0" r="0" b="0"/>
                  <wp:docPr id="38" name="IM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 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61" cy="302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029177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6F6836F8">
            <w:pPr>
              <w:spacing w:before="111" w:line="230" w:lineRule="auto"/>
              <w:ind w:left="12"/>
              <w:jc w:val="center"/>
              <w:rPr>
                <w:rFonts w:ascii="黑体" w:hAnsi="黑体" w:eastAsia="黑体" w:cs="黑体"/>
                <w:sz w:val="21"/>
                <w:szCs w:val="21"/>
              </w:rPr>
            </w:pPr>
            <w:r>
              <w:rPr>
                <w:rFonts w:ascii="黑体" w:hAnsi="黑体" w:eastAsia="黑体" w:cs="黑体"/>
                <w:color w:val="000080"/>
                <w:spacing w:val="1"/>
                <w:sz w:val="21"/>
                <w:szCs w:val="21"/>
              </w:rPr>
              <w:t>系数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5476998E">
            <w:pPr>
              <w:pStyle w:val="13"/>
              <w:spacing w:before="25" w:line="199" w:lineRule="auto"/>
              <w:ind w:left="196"/>
              <w:jc w:val="center"/>
              <w:rPr>
                <w:rFonts w:hint="eastAsia" w:eastAsia="宋体"/>
                <w:sz w:val="15"/>
                <w:szCs w:val="15"/>
                <w:lang w:val="en-US" w:eastAsia="zh-CN"/>
              </w:rPr>
            </w:pPr>
            <w:r>
              <w:rPr>
                <w:rFonts w:ascii="宋体" w:hAnsi="宋体" w:eastAsia="宋体" w:cs="宋体"/>
                <w:spacing w:val="21"/>
              </w:rPr>
              <w:t>二次项：</w:t>
            </w:r>
            <m:oMath>
              <m:sSub>
                <m:sSubPr>
                  <m:ctrlPr>
                    <w:rPr>
                      <w:rFonts w:hint="default" w:ascii="Cambria Math" w:hAnsi="Cambria Math"/>
                      <w:sz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1"/>
                    </w:rPr>
                    <m:t>b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1"/>
                    </w:rPr>
                    <m:t>pq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1"/>
                </w:rPr>
                <m:t>=−8</m:t>
              </m:r>
              <m:sSub>
                <m:sSubPr>
                  <m:ctrlPr>
                    <w:rPr>
                      <w:rFonts w:hint="default" w:ascii="Cambria Math" w:hAnsi="Cambria Math"/>
                      <w:sz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1"/>
                    </w:rPr>
                    <m:t>J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1"/>
                    </w:rPr>
                    <m:t>pq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sub>
              </m:sSub>
            </m:oMath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47F700BC">
            <w:pPr>
              <w:pStyle w:val="13"/>
              <w:spacing w:line="220" w:lineRule="auto"/>
              <w:ind w:left="456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ascii="宋体" w:hAnsi="宋体" w:eastAsia="宋体" w:cs="宋体"/>
                <w:spacing w:val="24"/>
              </w:rPr>
              <w:t>二次项：</w:t>
            </w:r>
            <m:oMath>
              <m:sSub>
                <m:sSubPr>
                  <m:ctrlPr>
                    <w:rPr>
                      <w:rFonts w:hint="default" w:ascii="Cambria Math" w:hAnsi="Cambria Math"/>
                      <w:sz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1"/>
                    </w:rPr>
                    <m:t>b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1"/>
                    </w:rPr>
                    <m:t>pa,qb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1"/>
                </w:rPr>
                <m:t>=−8J</m:t>
              </m:r>
            </m:oMath>
          </w:p>
        </w:tc>
      </w:tr>
      <w:tr w14:paraId="189BC2D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 w:hRule="atLeast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563B2C95">
            <w:pPr>
              <w:pStyle w:val="13"/>
              <w:spacing w:before="195" w:line="307" w:lineRule="auto"/>
              <w:ind w:left="16" w:right="184" w:hanging="10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  <w:color w:val="000080"/>
                <w:spacing w:val="42"/>
              </w:rPr>
              <w:t>生成</w:t>
            </w:r>
            <w:r>
              <w:rPr>
                <w:rFonts w:ascii="黑体" w:hAnsi="黑体" w:eastAsia="黑体" w:cs="黑体"/>
                <w:color w:val="000080"/>
                <w:spacing w:val="-8"/>
              </w:rPr>
              <w:t xml:space="preserve"> </w:t>
            </w:r>
            <w:r>
              <w:rPr>
                <w:b/>
                <w:bCs/>
                <w:color w:val="000080"/>
              </w:rPr>
              <w:t>QUBO</w:t>
            </w:r>
            <w:r>
              <w:rPr>
                <w:b/>
                <w:bCs/>
                <w:color w:val="000080"/>
                <w:spacing w:val="38"/>
                <w:w w:val="101"/>
              </w:rPr>
              <w:t xml:space="preserve"> </w:t>
            </w:r>
            <w:r>
              <w:rPr>
                <w:rFonts w:ascii="黑体" w:hAnsi="黑体" w:eastAsia="黑体" w:cs="黑体"/>
                <w:color w:val="000080"/>
                <w:spacing w:val="42"/>
              </w:rPr>
              <w:t>矩</w:t>
            </w:r>
            <w:r>
              <w:rPr>
                <w:rFonts w:ascii="黑体" w:hAnsi="黑体" w:eastAsia="黑体" w:cs="黑体"/>
                <w:color w:val="000080"/>
              </w:rPr>
              <w:t>阵</w:t>
            </w:r>
          </w:p>
        </w:tc>
        <w:tc>
          <w:tcPr>
            <w:tcW w:w="3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51495365">
            <w:pPr>
              <w:pStyle w:val="13"/>
              <w:spacing w:before="194" w:line="191" w:lineRule="auto"/>
              <w:ind w:left="193"/>
              <w:jc w:val="center"/>
              <w:rPr>
                <w:rFonts w:ascii="宋体" w:hAnsi="宋体" w:eastAsia="宋体" w:cs="宋体"/>
              </w:rPr>
            </w:pPr>
            <w:r>
              <w:rPr>
                <w:spacing w:val="11"/>
              </w:rPr>
              <w:t>N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1"/>
              </w:rPr>
              <w:t>×</w:t>
            </w:r>
            <w:r>
              <w:rPr>
                <w:rFonts w:ascii="Malgun Gothic" w:hAnsi="Malgun Gothic" w:eastAsia="Malgun Gothic" w:cs="Malgun Gothic"/>
                <w:spacing w:val="-17"/>
              </w:rPr>
              <w:t xml:space="preserve"> </w:t>
            </w:r>
            <w:r>
              <w:rPr>
                <w:spacing w:val="11"/>
              </w:rPr>
              <w:t>N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rFonts w:ascii="宋体" w:hAnsi="宋体" w:eastAsia="宋体" w:cs="宋体"/>
                <w:spacing w:val="11"/>
              </w:rPr>
              <w:t>对称矩阵</w:t>
            </w:r>
          </w:p>
        </w:tc>
        <w:tc>
          <w:tcPr>
            <w:tcW w:w="4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2703B484">
            <w:pPr>
              <w:pStyle w:val="13"/>
              <w:spacing w:before="194" w:line="207" w:lineRule="auto"/>
              <w:ind w:left="455"/>
              <w:jc w:val="center"/>
              <w:rPr>
                <w:rFonts w:ascii="宋体" w:hAnsi="宋体" w:eastAsia="宋体" w:cs="宋体"/>
              </w:rPr>
            </w:pPr>
            <w:r>
              <w:rPr>
                <w:spacing w:val="9"/>
              </w:rPr>
              <w:t>2N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9"/>
              </w:rPr>
              <w:t>×</w:t>
            </w:r>
            <w:r>
              <w:rPr>
                <w:rFonts w:ascii="Malgun Gothic" w:hAnsi="Malgun Gothic" w:eastAsia="Malgun Gothic" w:cs="Malgun Gothic"/>
                <w:spacing w:val="-14"/>
              </w:rPr>
              <w:t xml:space="preserve"> </w:t>
            </w:r>
            <w:r>
              <w:rPr>
                <w:spacing w:val="9"/>
              </w:rPr>
              <w:t>2N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rFonts w:ascii="宋体" w:hAnsi="宋体" w:eastAsia="宋体" w:cs="宋体"/>
                <w:spacing w:val="9"/>
              </w:rPr>
              <w:t>对称矩阵</w:t>
            </w:r>
          </w:p>
        </w:tc>
      </w:tr>
    </w:tbl>
    <w:p w14:paraId="32310C2D">
      <w:pPr>
        <w:pStyle w:val="4"/>
        <w:bidi w:val="0"/>
        <w:rPr>
          <w:sz w:val="30"/>
          <w:szCs w:val="30"/>
          <w:lang w:val="en-US" w:eastAsia="en-US"/>
        </w:rPr>
      </w:pPr>
      <w:r>
        <w:rPr>
          <w:sz w:val="30"/>
          <w:szCs w:val="30"/>
          <w:lang w:val="en-US" w:eastAsia="en-US"/>
        </w:rPr>
        <w:t>六、CIM真机(KaiWU-CPQC-550)求解性能分析</w:t>
      </w:r>
    </w:p>
    <w:p w14:paraId="19401999">
      <w:pPr>
        <w:pStyle w:val="6"/>
        <w:spacing w:before="257" w:line="227" w:lineRule="auto"/>
        <w:ind w:left="456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注：由于</w:t>
      </w:r>
      <w:r>
        <w:rPr>
          <w:rFonts w:ascii="宋体" w:hAnsi="宋体" w:eastAsia="宋体" w:cs="宋体"/>
          <w:b/>
          <w:bCs/>
          <w:sz w:val="18"/>
          <w:szCs w:val="18"/>
        </w:rPr>
        <w:t>CIM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真机限制(数据比特不超过550</w:t>
      </w:r>
      <w:r>
        <w:rPr>
          <w:rFonts w:ascii="宋体" w:hAnsi="宋体" w:eastAsia="宋体" w:cs="宋体"/>
          <w:b/>
          <w:bCs/>
          <w:sz w:val="18"/>
          <w:szCs w:val="18"/>
        </w:rPr>
        <w:t>bit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)，仅进行</w:t>
      </w:r>
      <w:r>
        <w:rPr>
          <w:b/>
          <w:bCs/>
          <w:spacing w:val="1"/>
          <w:sz w:val="15"/>
          <w:szCs w:val="15"/>
        </w:rPr>
        <w:t>M</w:t>
      </w:r>
      <w:r>
        <w:rPr>
          <w:b/>
          <w:bCs/>
          <w:sz w:val="15"/>
          <w:szCs w:val="15"/>
        </w:rPr>
        <w:t>, N, L,n</w:t>
      </w:r>
      <w:r>
        <w:rPr>
          <w:rFonts w:ascii="Arial" w:hAnsi="Arial" w:eastAsia="Arial" w:cs="Arial"/>
          <w:b/>
          <w:bCs/>
          <w:sz w:val="15"/>
          <w:szCs w:val="15"/>
        </w:rPr>
        <w:t>-bit=</w:t>
      </w:r>
      <w:r>
        <w:rPr>
          <w:rFonts w:ascii="宋体" w:hAnsi="宋体" w:eastAsia="宋体" w:cs="宋体"/>
          <w:b/>
          <w:bCs/>
          <w:sz w:val="18"/>
          <w:szCs w:val="18"/>
        </w:rPr>
        <w:t>8*8*4*2的情况求解</w:t>
      </w: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t>(</w:t>
      </w:r>
      <w:r>
        <w:rPr>
          <w:rFonts w:ascii="宋体" w:hAnsi="宋体" w:eastAsia="宋体" w:cs="宋体"/>
          <w:b/>
          <w:bCs/>
          <w:sz w:val="18"/>
          <w:szCs w:val="18"/>
        </w:rPr>
        <w:t>原论文为8*8*8*2</w:t>
      </w: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t>)</w:t>
      </w:r>
    </w:p>
    <w:p w14:paraId="48095F9B"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3702685</wp:posOffset>
            </wp:positionH>
            <wp:positionV relativeFrom="paragraph">
              <wp:posOffset>578485</wp:posOffset>
            </wp:positionV>
            <wp:extent cx="3314700" cy="2272030"/>
            <wp:effectExtent l="0" t="0" r="0" b="0"/>
            <wp:wrapNone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13" cy="227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>1.参数设置及程序执行结果</w:t>
      </w:r>
      <w:bookmarkStart w:id="0" w:name="_GoBack"/>
      <w:bookmarkEnd w:id="0"/>
    </w:p>
    <w:p w14:paraId="1D3F5D6D">
      <w:pPr>
        <w:spacing w:before="108" w:line="3583" w:lineRule="exact"/>
        <w:ind w:firstLine="389"/>
      </w:pPr>
      <w:r>
        <w:rPr>
          <w:position w:val="-71"/>
        </w:rPr>
        <w:drawing>
          <wp:inline distT="0" distB="0" distL="0" distR="0">
            <wp:extent cx="3285490" cy="2275205"/>
            <wp:effectExtent l="0" t="0" r="635" b="127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5987" cy="22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58E"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2.真机求解最优相位配置</w:t>
      </w:r>
    </w:p>
    <w:p w14:paraId="1D29F385">
      <w:pPr>
        <w:spacing w:before="130" w:line="3517" w:lineRule="exact"/>
        <w:ind w:firstLine="381"/>
        <w:rPr>
          <w:rFonts w:ascii="宋体" w:hAnsi="宋体" w:eastAsia="宋体" w:cs="宋体"/>
          <w:b/>
          <w:bCs/>
          <w:spacing w:val="-4"/>
          <w:sz w:val="28"/>
          <w:szCs w:val="28"/>
        </w:rPr>
      </w:pPr>
      <w:r>
        <w:rPr>
          <w:position w:val="-70"/>
        </w:rPr>
        <w:drawing>
          <wp:inline distT="0" distB="0" distL="0" distR="0">
            <wp:extent cx="6239510" cy="223329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9592" cy="22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1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3.结果解码及可视化</w:t>
      </w:r>
    </w:p>
    <w:p w14:paraId="1D0CAE9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  <w:t>1.相位解码过程</w:t>
      </w:r>
    </w:p>
    <w:p w14:paraId="0733134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将 CIM 输出的二进制变量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转换为超原子的离散相位，步骤如下：</w:t>
      </w:r>
    </w:p>
    <w:p w14:paraId="081983B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二进制→自旋变量：通过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=2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−1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将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∈{0,1}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转换为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pa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∈{−1,1}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；</w:t>
      </w:r>
    </w:p>
    <w:p w14:paraId="15B0725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自旋变量→反射系数：通过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+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计算反射系数（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=1/</m:t>
        </m:r>
        <m:rad>
          <m:radPr>
            <m:deg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=j/</m:t>
        </m:r>
        <m:rad>
          <m:radPr>
            <m:degHide m:val="1"/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</m:rad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）；</w:t>
      </w:r>
    </w:p>
    <w:p w14:paraId="60CB77E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反射系数→相位：提取</w:t>
      </w:r>
      <m:oMath>
        <m:sSub>
          <m:sSubPr>
            <m:ctrl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Γ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eastAsia" w:ascii="Cambria Math" w:hAnsi="Cambria Math" w:eastAsia="宋体" w:cs="宋体"/>
                <w:snapToGrid w:val="0"/>
                <w:color w:val="000000"/>
                <w:spacing w:val="7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的相位信息，得到超原子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p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在对应时间槽的相位值。</w:t>
      </w:r>
    </w:p>
    <w:p w14:paraId="5914BAC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32C0D09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default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  <w:t>2.核心性能指标计算过程</w:t>
      </w:r>
    </w:p>
    <w:tbl>
      <w:tblPr>
        <w:tblStyle w:val="9"/>
        <w:tblpPr w:leftFromText="180" w:rightFromText="180" w:vertAnchor="text" w:horzAnchor="page" w:tblpXSpec="center" w:tblpY="127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5"/>
        <w:gridCol w:w="2545"/>
        <w:gridCol w:w="5533"/>
      </w:tblGrid>
      <w:tr w14:paraId="13BC2C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2545" w:type="dxa"/>
          </w:tcPr>
          <w:p w14:paraId="6454F776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性能指标</w:t>
            </w:r>
          </w:p>
        </w:tc>
        <w:tc>
          <w:tcPr>
            <w:tcW w:w="2545" w:type="dxa"/>
          </w:tcPr>
          <w:p w14:paraId="26845659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定义</w:t>
            </w:r>
          </w:p>
        </w:tc>
        <w:tc>
          <w:tcPr>
            <w:tcW w:w="5533" w:type="dxa"/>
          </w:tcPr>
          <w:p w14:paraId="6EE117B0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计算步骤</w:t>
            </w:r>
          </w:p>
        </w:tc>
      </w:tr>
      <w:tr w14:paraId="613ABA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2545" w:type="dxa"/>
          </w:tcPr>
          <w:p w14:paraId="2897DD09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主瓣功率（归一化）</w:t>
            </w:r>
          </w:p>
        </w:tc>
        <w:tc>
          <w:tcPr>
            <w:tcW w:w="2545" w:type="dxa"/>
          </w:tcPr>
          <w:p w14:paraId="5F517B06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目标方向主瓣功率与理想最大主瓣功率的比值</w:t>
            </w:r>
          </w:p>
        </w:tc>
        <w:tc>
          <w:tcPr>
            <w:tcW w:w="5533" w:type="dxa"/>
          </w:tcPr>
          <w:p w14:paraId="73252464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计算理想最大主瓣功率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ideal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：所有超原子同相位时的主波束功率（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Γ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=1</m:t>
              </m:r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，代入式（1） 得</w:t>
            </w:r>
          </w:p>
          <w:p w14:paraId="4EF5DD7C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ideal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=</m:t>
              </m:r>
              <m:sSup>
                <m:sSup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pPr>
                <m:e>
                  <m:d>
                    <m:dPr>
                      <m:ctrlPr>
                        <w:rPr>
                          <w:rFonts w:hint="default" w:ascii="Cambria Math" w:hAnsi="Cambria Math" w:eastAsia="微软雅黑" w:cs="微软雅黑"/>
                          <w:color w:val="000000"/>
                          <w:spacing w:val="-5"/>
                          <w:sz w:val="16"/>
                          <w:szCs w:val="16"/>
                          <w14:textFill>
                            <w14:solidFill>
                              <w14:srgbClr w14:val="000000">
                                <w14:alpha w14:val="10588"/>
                              </w14:srgbClr>
                            </w14:solidFill>
                          </w14:textFill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hint="default" w:ascii="Cambria Math" w:hAnsi="Cambria Math" w:eastAsia="微软雅黑" w:cs="微软雅黑"/>
                              <w:color w:val="000000"/>
                              <w:spacing w:val="-5"/>
                              <w:sz w:val="16"/>
                              <w:szCs w:val="16"/>
                              <w14:textFill>
                                <w14:solidFill>
                                  <w14:srgbClr w14:val="000000">
                                    <w14:alpha w14:val="10588"/>
                                  </w14:srgbClr>
                                </w14:solidFill>
                              </w14:textFill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微软雅黑" w:cs="微软雅黑"/>
                              <w:color w:val="000000"/>
                              <w:spacing w:val="-5"/>
                              <w:sz w:val="16"/>
                              <w:szCs w:val="16"/>
                              <w14:textFill>
                                <w14:solidFill>
                                  <w14:srgbClr w14:val="000000">
                                    <w14:alpha w14:val="10588"/>
                                  </w14:srgbClr>
                                </w14:solidFill>
                              </w14:textFill>
                            </w:rPr>
                            <m:t>p</m:t>
                          </m:r>
                          <m:ctrlPr>
                            <w:rPr>
                              <w:rFonts w:ascii="Cambria Math" w:hAnsi="Cambria Math" w:eastAsia="微软雅黑" w:cs="微软雅黑"/>
                              <w:color w:val="000000"/>
                              <w:spacing w:val="-5"/>
                              <w:sz w:val="16"/>
                              <w:szCs w:val="16"/>
                              <w14:textFill>
                                <w14:solidFill>
                                  <w14:srgbClr w14:val="000000">
                                    <w14:alpha w14:val="10588"/>
                                  </w14:srgbClr>
                                </w14:solidFill>
                              </w14:textFill>
                            </w:rPr>
                          </m:ctrlPr>
                        </m:sub>
                        <m:sup>
                          <m:ctrlPr>
                            <w:rPr>
                              <w:rFonts w:ascii="Cambria Math" w:hAnsi="Cambria Math" w:eastAsia="微软雅黑" w:cs="微软雅黑"/>
                              <w:color w:val="000000"/>
                              <w:spacing w:val="-5"/>
                              <w:sz w:val="16"/>
                              <w:szCs w:val="16"/>
                              <w14:textFill>
                                <w14:solidFill>
                                  <w14:srgbClr w14:val="000000">
                                    <w14:alpha w14:val="10588"/>
                                  </w14:srgbClr>
                                </w14:solidFill>
                              </w14:textFill>
                            </w:rPr>
                          </m:ctrlPr>
                        </m:sup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eastAsia="微软雅黑" w:cs="微软雅黑"/>
                                  <w:color w:val="000000"/>
                                  <w:spacing w:val="-5"/>
                                  <w:sz w:val="16"/>
                                  <w:szCs w:val="16"/>
                                  <w14:textFill>
                                    <w14:solidFill>
                                      <w14:srgbClr w14:val="000000">
                                        <w14:alpha w14:val="10588"/>
                                      </w14:srgbClr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微软雅黑" w:cs="微软雅黑"/>
                                  <w:color w:val="000000"/>
                                  <w:spacing w:val="-5"/>
                                  <w:sz w:val="16"/>
                                  <w:szCs w:val="16"/>
                                  <w14:textFill>
                                    <w14:solidFill>
                                      <w14:srgbClr w14:val="000000">
                                        <w14:alpha w14:val="10588"/>
                                      </w14:srgbClr>
                                    </w14:solidFill>
                                  </w14:textFill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 w:eastAsia="微软雅黑" w:cs="微软雅黑"/>
                                  <w:color w:val="000000"/>
                                  <w:spacing w:val="-5"/>
                                  <w:sz w:val="16"/>
                                  <w:szCs w:val="16"/>
                                  <w14:textFill>
                                    <w14:solidFill>
                                      <w14:srgbClr w14:val="000000">
                                        <w14:alpha w14:val="10588"/>
                                      </w14:srgbClr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微软雅黑" w:cs="微软雅黑"/>
                                  <w:color w:val="000000"/>
                                  <w:spacing w:val="-5"/>
                                  <w:sz w:val="16"/>
                                  <w:szCs w:val="16"/>
                                  <w14:textFill>
                                    <w14:solidFill>
                                      <w14:srgbClr w14:val="000000">
                                        <w14:alpha w14:val="10588"/>
                                      </w14:srgbClr>
                                    </w14:solidFill>
                                  </w14:textFill>
                                </w:rPr>
                                <m:t>p,p</m:t>
                              </m:r>
                              <m:ctrlPr>
                                <w:rPr>
                                  <w:rFonts w:ascii="Cambria Math" w:hAnsi="Cambria Math" w:eastAsia="微软雅黑" w:cs="微软雅黑"/>
                                  <w:color w:val="000000"/>
                                  <w:spacing w:val="-5"/>
                                  <w:sz w:val="16"/>
                                  <w:szCs w:val="16"/>
                                  <w14:textFill>
                                    <w14:solidFill>
                                      <w14:srgbClr w14:val="000000">
                                        <w14:alpha w14:val="10588"/>
                                      </w14:srgbClr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eastAsia="微软雅黑" w:cs="微软雅黑"/>
                              <w:color w:val="000000"/>
                              <w:spacing w:val="-5"/>
                              <w:sz w:val="16"/>
                              <w:szCs w:val="16"/>
                              <w14:textFill>
                                <w14:solidFill>
                                  <w14:srgbClr w14:val="000000">
                                    <w14:alpha w14:val="10588"/>
                                  </w14:srgbClr>
                                </w14:solidFill>
                              </w14:textFill>
                            </w:rPr>
                          </m:ctrlPr>
                        </m:e>
                      </m:nary>
                      <m:ctrlPr>
                        <w:rPr>
                          <w:rFonts w:hint="default" w:ascii="Cambria Math" w:hAnsi="Cambria Math" w:eastAsia="微软雅黑" w:cs="微软雅黑"/>
                          <w:color w:val="000000"/>
                          <w:spacing w:val="-5"/>
                          <w:sz w:val="16"/>
                          <w:szCs w:val="16"/>
                          <w14:textFill>
                            <w14:solidFill>
                              <w14:srgbClr w14:val="000000">
                                <w14:alpha w14:val="10588"/>
                              </w14:srgbClr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p>
              </m:sSup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）；</w:t>
            </w:r>
          </w:p>
          <w:p w14:paraId="1ED98160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计算优化后主瓣功率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main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=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ℎ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(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0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,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φ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0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)</m:t>
              </m:r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代入最优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Γ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；</w:t>
            </w:r>
          </w:p>
          <w:p w14:paraId="7CEE41E2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归一化主瓣功</w:t>
            </w:r>
            <m:oMath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=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main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/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ideal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</w:p>
        </w:tc>
      </w:tr>
      <w:tr w14:paraId="2E8D6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2545" w:type="dxa"/>
          </w:tcPr>
          <w:p w14:paraId="7187DBAA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旁瓣最大值（归一化）</w:t>
            </w:r>
          </w:p>
        </w:tc>
        <w:tc>
          <w:tcPr>
            <w:tcW w:w="2545" w:type="dxa"/>
          </w:tcPr>
          <w:p w14:paraId="17B96F87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旁瓣区域最大功率与理想最大主瓣功率的比值</w:t>
            </w:r>
          </w:p>
        </w:tc>
        <w:tc>
          <w:tcPr>
            <w:tcW w:w="5533" w:type="dxa"/>
          </w:tcPr>
          <w:p w14:paraId="3F675191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计算旁瓣区域各离散角度的功率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ℎ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(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k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,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φ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0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)</m:t>
              </m:r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:lang w:val="en-US" w:eastAsia="zh-CN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 xml:space="preserve">  </m:t>
              </m:r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k=</m:t>
              </m:r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:lang w:val="en-US" w:eastAsia="zh-CN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(</m:t>
              </m:r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1,...,K</m:t>
              </m:r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:lang w:val="en-US" w:eastAsia="zh-CN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)</m:t>
              </m:r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;</w:t>
            </w:r>
          </w:p>
          <w:p w14:paraId="690F7910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取最大值：</w:t>
            </w:r>
          </w:p>
          <w:p w14:paraId="244926C6">
            <w:pPr>
              <w:widowControl w:val="0"/>
              <w:spacing w:before="93" w:line="177" w:lineRule="auto"/>
              <w:ind w:left="155"/>
              <w:rPr>
                <w:rFonts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P</m:t>
                    </m:r>
                    <m:ctrlPr>
                      <w:rPr>
                        <w:rFonts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side,max</m:t>
                    </m:r>
                    <m:ctrlPr>
                      <w:rPr>
                        <w:rFonts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eastAsia="微软雅黑" w:cs="微软雅黑"/>
                    <w:color w:val="000000"/>
                    <w:spacing w:val="-5"/>
                    <w:sz w:val="16"/>
                    <w:szCs w:val="16"/>
                    <w14:textFill>
                      <w14:solidFill>
                        <w14:srgbClr w14:val="000000">
                          <w14:alpha w14:val="10588"/>
                        </w14:srgbClr>
                      </w14:solidFill>
                    </w14:textFill>
                  </w:rPr>
                  <m:t>=</m:t>
                </m:r>
                <m:sSub>
                  <m:sSubPr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P</m:t>
                    </m:r>
                    <m:ctrlPr>
                      <w:rPr>
                        <w:rFonts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side,max</m:t>
                    </m:r>
                    <m:ctrlPr>
                      <w:rPr>
                        <w:rFonts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sub>
                </m:sSub>
                <m:func>
                  <m:funcPr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max</m:t>
                    </m:r>
                    <m:ctrlPr>
                      <w:rPr>
                        <w:rFonts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P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ℎ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(</m:t>
                    </m:r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θ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,</m:t>
                    </m:r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φ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0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),...,</m:t>
                    </m:r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P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ℎ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(</m:t>
                    </m:r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θ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K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,</m:t>
                    </m:r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φ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0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  <m:t>)</m:t>
                    </m:r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e>
                </m:func>
              </m:oMath>
            </m:oMathPara>
          </w:p>
          <w:p w14:paraId="1E925840">
            <w:pPr>
              <w:widowControl w:val="0"/>
              <w:spacing w:before="93" w:line="177" w:lineRule="auto"/>
              <w:ind w:left="155"/>
              <w:rPr>
                <w:rFonts w:hint="default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-5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归一化旁瓣最大值</w:t>
            </w:r>
            <m:oMath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=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side,max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/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ideal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</w:p>
        </w:tc>
      </w:tr>
      <w:tr w14:paraId="643951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  <w:jc w:val="center"/>
        </w:trPr>
        <w:tc>
          <w:tcPr>
            <w:tcW w:w="2545" w:type="dxa"/>
          </w:tcPr>
          <w:p w14:paraId="2B2902AE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旁瓣抑制比（SLL）</w:t>
            </w:r>
          </w:p>
        </w:tc>
        <w:tc>
          <w:tcPr>
            <w:tcW w:w="2545" w:type="dxa"/>
          </w:tcPr>
          <w:p w14:paraId="49BB10BF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衡量旁瓣相对于主瓣的抑制程度，单位 dB</w:t>
            </w:r>
          </w:p>
        </w:tc>
        <w:tc>
          <w:tcPr>
            <w:tcW w:w="5533" w:type="dxa"/>
          </w:tcPr>
          <w:p w14:paraId="6B051827">
            <w:pPr>
              <w:widowControl w:val="0"/>
              <w:spacing w:before="93" w:line="177" w:lineRule="auto"/>
              <w:ind w:left="155"/>
              <w:rPr>
                <w:rFonts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eastAsia="微软雅黑" w:cs="微软雅黑"/>
                    <w:color w:val="000000"/>
                    <w:spacing w:val="-5"/>
                    <w:sz w:val="16"/>
                    <w:szCs w:val="16"/>
                    <w14:textFill>
                      <w14:solidFill>
                        <w14:srgbClr w14:val="000000">
                          <w14:alpha w14:val="10588"/>
                        </w14:srgbClr>
                      </w14:solidFill>
                    </w14:textFill>
                  </w:rPr>
                  <m:t>SLL=10</m:t>
                </m:r>
                <m:func>
                  <m:funcPr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log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  <m:t>10</m:t>
                        </m:r>
                        <m:ctrlPr>
                          <w:rPr>
                            <w:rFonts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hint="default" w:ascii="Cambria Math" w:hAnsi="Cambria Math" w:eastAsia="微软雅黑" w:cs="微软雅黑"/>
                                <w:color w:val="000000"/>
                                <w:spacing w:val="-5"/>
                                <w:sz w:val="16"/>
                                <w:szCs w:val="16"/>
                                <w14:textFill>
                                  <w14:solidFill>
                                    <w14:srgbClr w14:val="000000">
                                      <w14:alpha w14:val="10588"/>
                                    </w14:srgbClr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  <m:t>side,max</m:t>
                                </m:r>
                                <m:ctrlPr>
                                  <w:rPr>
                                    <w:rFonts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微软雅黑" w:cs="微软雅黑"/>
                                <w:color w:val="000000"/>
                                <w:spacing w:val="-5"/>
                                <w:sz w:val="16"/>
                                <w:szCs w:val="16"/>
                                <w14:textFill>
                                  <w14:solidFill>
                                    <w14:srgbClr w14:val="000000">
                                      <w14:alpha w14:val="10588"/>
                                    </w14:srgbClr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  <m:t>main</m:t>
                                </m:r>
                                <m:ctrlPr>
                                  <w:rPr>
                                    <w:rFonts w:ascii="Cambria Math" w:hAnsi="Cambria Math" w:eastAsia="微软雅黑" w:cs="微软雅黑"/>
                                    <w:color w:val="000000"/>
                                    <w:spacing w:val="-5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000000">
                                          <w14:alpha w14:val="10588"/>
                                        </w14:srgbClr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微软雅黑" w:cs="微软雅黑"/>
                                <w:color w:val="000000"/>
                                <w:spacing w:val="-5"/>
                                <w:sz w:val="16"/>
                                <w:szCs w:val="16"/>
                                <w14:textFill>
                                  <w14:solidFill>
                                    <w14:srgbClr w14:val="000000">
                                      <w14:alpha w14:val="10588"/>
                                    </w14:srgbClr>
                                  </w14:solidFill>
                                </w14:textFill>
                              </w:rPr>
                            </m:ctrlPr>
                          </m:den>
                        </m:f>
                        <m:ctrlPr>
                          <w:rPr>
                            <w:rFonts w:hint="default" w:ascii="Cambria Math" w:hAnsi="Cambria Math" w:eastAsia="微软雅黑" w:cs="微软雅黑"/>
                            <w:color w:val="000000"/>
                            <w:spacing w:val="-5"/>
                            <w:sz w:val="16"/>
                            <w:szCs w:val="16"/>
                            <w14:textFill>
                              <w14:solidFill>
                                <w14:srgbClr w14:val="000000">
                                  <w14:alpha w14:val="10588"/>
                                </w14:srgbClr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Fonts w:hint="default" w:ascii="Cambria Math" w:hAnsi="Cambria Math" w:eastAsia="微软雅黑" w:cs="微软雅黑"/>
                        <w:color w:val="000000"/>
                        <w:spacing w:val="-5"/>
                        <w:sz w:val="16"/>
                        <w:szCs w:val="16"/>
                        <w14:textFill>
                          <w14:solidFill>
                            <w14:srgbClr w14:val="000000">
                              <w14:alpha w14:val="10588"/>
                            </w14:srgbClr>
                          </w14:solidFill>
                        </w14:textFill>
                      </w:rPr>
                    </m:ctrlPr>
                  </m:e>
                </m:func>
              </m:oMath>
            </m:oMathPara>
          </w:p>
          <w:p w14:paraId="0685CEDF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</w:p>
        </w:tc>
      </w:tr>
      <w:tr w14:paraId="01939B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2545" w:type="dxa"/>
          </w:tcPr>
          <w:p w14:paraId="64B815B5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主瓣角度误差</w:t>
            </w:r>
          </w:p>
        </w:tc>
        <w:tc>
          <w:tcPr>
            <w:tcW w:w="2545" w:type="dxa"/>
          </w:tcPr>
          <w:p w14:paraId="7D5F3146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实际主瓣峰值角度与目标角度的绝对差值</w:t>
            </w:r>
          </w:p>
        </w:tc>
        <w:tc>
          <w:tcPr>
            <w:tcW w:w="5533" w:type="dxa"/>
          </w:tcPr>
          <w:p w14:paraId="08AB00B4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找到主瓣功率峰值对应的实际角度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meas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（在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0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附近搜索功率最大值点）</w:t>
            </w:r>
          </w:p>
          <w:p w14:paraId="3693308E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角度误差</w:t>
            </w:r>
          </w:p>
        </w:tc>
      </w:tr>
      <w:tr w14:paraId="72A01D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2545" w:type="dxa"/>
          </w:tcPr>
          <w:p w14:paraId="0F5E1580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3dB 波束宽度</w:t>
            </w:r>
          </w:p>
        </w:tc>
        <w:tc>
          <w:tcPr>
            <w:tcW w:w="2545" w:type="dxa"/>
          </w:tcPr>
          <w:p w14:paraId="0371ABF5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主瓣功率下降到最大值 1/2（-3dB）时的角度范围</w:t>
            </w:r>
          </w:p>
        </w:tc>
        <w:tc>
          <w:tcPr>
            <w:tcW w:w="5533" w:type="dxa"/>
          </w:tcPr>
          <w:p w14:paraId="3722DEB9">
            <w:pPr>
              <w:widowControl w:val="0"/>
              <w:spacing w:before="93" w:line="177" w:lineRule="auto"/>
              <w:ind w:left="155"/>
              <w:rPr>
                <w:rFonts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找到主瓣功率为</w:t>
            </w:r>
            <m:oMath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0.5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P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main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（-3dB）对应的左、右角度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L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</w:p>
          <w:p w14:paraId="568EC8A0">
            <w:pPr>
              <w:widowControl w:val="0"/>
              <w:spacing w:before="93" w:line="177" w:lineRule="auto"/>
              <w:ind w:left="155"/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（左侧 - 3dB 点）、</w:t>
            </w:r>
            <m:oMath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R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eastAsia"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（右侧 - 3dB 点）；2. 3dB 波束宽度</w:t>
            </w:r>
            <m:oMath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=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R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微软雅黑" w:cs="微软雅黑"/>
                  <w:color w:val="000000"/>
                  <w:spacing w:val="-5"/>
                  <w:sz w:val="16"/>
                  <w:szCs w:val="16"/>
                  <w14:textFill>
                    <w14:solidFill>
                      <w14:srgbClr w14:val="000000">
                        <w14:alpha w14:val="10588"/>
                      </w14:srgbClr>
                    </w14:solidFill>
                  </w14:textFill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θ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  <m:t>L</m:t>
                  </m:r>
                  <m:ctrlPr>
                    <w:rPr>
                      <w:rFonts w:ascii="Cambria Math" w:hAnsi="Cambria Math" w:eastAsia="微软雅黑" w:cs="微软雅黑"/>
                      <w:color w:val="000000"/>
                      <w:spacing w:val="-5"/>
                      <w:sz w:val="16"/>
                      <w:szCs w:val="16"/>
                      <w14:textFill>
                        <w14:solidFill>
                          <w14:srgbClr w14:val="000000">
                            <w14:alpha w14:val="10588"/>
                          </w14:srgbClr>
                        </w14:solidFill>
                      </w14:textFill>
                    </w:rPr>
                  </m:ctrlPr>
                </m:sub>
              </m:sSub>
            </m:oMath>
          </w:p>
        </w:tc>
      </w:tr>
    </w:tbl>
    <w:p w14:paraId="1403DB3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</w:pPr>
    </w:p>
    <w:p w14:paraId="56A9D7C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baseline"/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  <w:t>3.性能指标可视化​</w:t>
      </w:r>
    </w:p>
    <w:p w14:paraId="0ADBCAE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</w:p>
    <w:p w14:paraId="733C83C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通过极坐标 / 直角坐标方向图展示远场散射特性：​</w:t>
      </w:r>
    </w:p>
    <w:p w14:paraId="4F5611F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508" w:firstLineChars="200"/>
        <w:textAlignment w:val="baseline"/>
      </w:pPr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极坐标图：直观呈现主瓣指向（</w:t>
      </w:r>
      <m:oMath>
        <m:r>
          <m:rPr>
            <m:sty m:val="p"/>
          </m:rPr>
          <w:rPr>
            <w:rFonts w:hint="default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−14.9</m:t>
        </m:r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°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）与旁瓣分布，主瓣功率归一化为 1.0，旁瓣最大值为 0.0846：直角坐标图：标注目标角度（−14.5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°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 xml:space="preserve">）、主瓣角度（−14.9 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°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）、3dB 波束宽度（13.27</w:t>
      </w:r>
      <m:oMath>
        <m:r>
          <m:rPr>
            <m:sty m:val="p"/>
          </m:rPr>
          <w:rPr>
            <w:rFonts w:hint="eastAsia" w:ascii="Cambria Math" w:hAnsi="Cambria Math" w:eastAsia="宋体" w:cs="宋体"/>
            <w:snapToGrid w:val="0"/>
            <w:color w:val="000000"/>
            <w:spacing w:val="7"/>
            <w:kern w:val="0"/>
            <w:sz w:val="24"/>
            <w:szCs w:val="24"/>
            <w:lang w:val="en-US" w:eastAsia="zh-CN" w:bidi="ar-SA"/>
          </w:rPr>
          <m:t>°</m:t>
        </m:r>
      </m:oMath>
      <w:r>
        <w:rPr>
          <w:rFonts w:hint="eastAsia" w:ascii="宋体" w:hAnsi="宋体" w:eastAsia="宋体" w:cs="宋体"/>
          <w:snapToGrid w:val="0"/>
          <w:color w:val="000000"/>
          <w:spacing w:val="7"/>
          <w:kern w:val="0"/>
          <w:sz w:val="24"/>
          <w:szCs w:val="24"/>
          <w:lang w:val="en-US" w:eastAsia="zh-CN" w:bidi="ar-SA"/>
        </w:rPr>
        <w:t>）及旁瓣抑制比（−10.72 dB），量化性能指标。</w:t>
      </w:r>
    </w:p>
    <w:p w14:paraId="3FB3502B">
      <w:pPr>
        <w:bidi w:val="0"/>
      </w:pPr>
    </w:p>
    <w:p w14:paraId="6F0A23B4">
      <w:pPr>
        <w:spacing w:before="113" w:line="4190" w:lineRule="exact"/>
        <w:ind w:firstLine="49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23495</wp:posOffset>
            </wp:positionV>
            <wp:extent cx="2594610" cy="2665730"/>
            <wp:effectExtent l="0" t="0" r="5715" b="1270"/>
            <wp:wrapNone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3"/>
        </w:rPr>
        <w:drawing>
          <wp:inline distT="0" distB="0" distL="0" distR="0">
            <wp:extent cx="3556000" cy="2660650"/>
            <wp:effectExtent l="0" t="0" r="6350" b="635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214" cy="26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D17">
      <w:pPr>
        <w:spacing w:line="265" w:lineRule="auto"/>
        <w:rPr>
          <w:rFonts w:ascii="Arial"/>
          <w:sz w:val="21"/>
        </w:rPr>
      </w:pPr>
    </w:p>
    <w:p w14:paraId="5A92308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4.性能分析</w:t>
      </w:r>
    </w:p>
    <w:p w14:paraId="0EAB6FB7">
      <w:pPr>
        <w:spacing w:before="260" w:line="175" w:lineRule="auto"/>
        <w:ind w:left="263"/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pacing w:val="-3"/>
          <w:sz w:val="24"/>
          <w:szCs w:val="24"/>
          <w:lang w:val="en-US" w:eastAsia="zh-CN"/>
          <w14:textFill>
            <w14:solidFill>
              <w14:srgbClr w14:val="000000">
                <w14:alpha w14:val="10588"/>
              </w14:srgbClr>
            </w14:solidFill>
          </w14:textFill>
        </w:rPr>
        <w:t>1.与论文原始算法的性能对比</w:t>
      </w:r>
    </w:p>
    <w:p w14:paraId="1E95F954">
      <w:pPr>
        <w:bidi w:val="0"/>
        <w:rPr>
          <w:rFonts w:hint="eastAsia"/>
          <w:lang w:val="en-US" w:eastAsia="zh-CN"/>
        </w:rPr>
      </w:pPr>
    </w:p>
    <w:p w14:paraId="1BC7FDFF">
      <w:pPr>
        <w:spacing w:line="46" w:lineRule="exact"/>
      </w:pPr>
    </w:p>
    <w:tbl>
      <w:tblPr>
        <w:tblStyle w:val="12"/>
        <w:tblW w:w="10397" w:type="dxa"/>
        <w:tblInd w:w="6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1792"/>
        <w:gridCol w:w="1857"/>
        <w:gridCol w:w="5508"/>
      </w:tblGrid>
      <w:tr w14:paraId="1394905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240" w:type="dxa"/>
            <w:vAlign w:val="top"/>
          </w:tcPr>
          <w:p w14:paraId="3A543CF6">
            <w:pPr>
              <w:spacing w:before="114" w:line="177" w:lineRule="auto"/>
              <w:ind w:left="473"/>
              <w:rPr>
                <w:rFonts w:ascii="微软雅黑" w:hAnsi="微软雅黑" w:eastAsia="微软雅黑" w:cs="微软雅黑"/>
                <w:b/>
                <w:bCs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-1"/>
                <w:w w:val="9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指标</w:t>
            </w:r>
          </w:p>
        </w:tc>
        <w:tc>
          <w:tcPr>
            <w:tcW w:w="1792" w:type="dxa"/>
            <w:vAlign w:val="top"/>
          </w:tcPr>
          <w:p w14:paraId="1243266B">
            <w:pPr>
              <w:spacing w:before="114" w:line="179" w:lineRule="auto"/>
              <w:ind w:left="196"/>
              <w:rPr>
                <w:rFonts w:ascii="微软雅黑" w:hAnsi="微软雅黑" w:eastAsia="微软雅黑" w:cs="微软雅黑"/>
                <w:b/>
                <w:bCs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-6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论文 8×8×8</w:t>
            </w: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4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-6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2-bit(SB)</w:t>
            </w:r>
          </w:p>
        </w:tc>
        <w:tc>
          <w:tcPr>
            <w:tcW w:w="1857" w:type="dxa"/>
            <w:vAlign w:val="top"/>
          </w:tcPr>
          <w:p w14:paraId="7B79B662">
            <w:pPr>
              <w:spacing w:before="128" w:line="167" w:lineRule="auto"/>
              <w:ind w:left="94"/>
              <w:rPr>
                <w:rFonts w:ascii="微软雅黑" w:hAnsi="微软雅黑" w:eastAsia="微软雅黑" w:cs="微软雅黑"/>
                <w:b/>
                <w:bCs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-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QUBO+ CIM 8×8×4</w:t>
            </w: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1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-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2-bit</w:t>
            </w:r>
          </w:p>
        </w:tc>
        <w:tc>
          <w:tcPr>
            <w:tcW w:w="5508" w:type="dxa"/>
            <w:vAlign w:val="top"/>
          </w:tcPr>
          <w:p w14:paraId="326A7A95">
            <w:pPr>
              <w:spacing w:before="88" w:line="172" w:lineRule="auto"/>
              <w:ind w:left="2342"/>
              <w:rPr>
                <w:rFonts w:ascii="微软雅黑" w:hAnsi="微软雅黑" w:eastAsia="微软雅黑" w:cs="微软雅黑"/>
                <w:b/>
                <w:bCs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000000"/>
                <w:spacing w:val="-3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差异说明</w:t>
            </w:r>
          </w:p>
        </w:tc>
      </w:tr>
      <w:tr w14:paraId="2F06B59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1240" w:type="dxa"/>
            <w:vAlign w:val="top"/>
          </w:tcPr>
          <w:p w14:paraId="2AD06B53">
            <w:pPr>
              <w:spacing w:before="155" w:line="176" w:lineRule="auto"/>
              <w:ind w:left="172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主瓣指向误差</w:t>
            </w:r>
          </w:p>
        </w:tc>
        <w:tc>
          <w:tcPr>
            <w:tcW w:w="1792" w:type="dxa"/>
            <w:vAlign w:val="top"/>
          </w:tcPr>
          <w:p w14:paraId="4C67D160">
            <w:pPr>
              <w:spacing w:before="163" w:line="165" w:lineRule="exact"/>
              <w:ind w:left="387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3"/>
                <w:position w:val="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0°  (θ=-14.5°)</w:t>
            </w:r>
          </w:p>
        </w:tc>
        <w:tc>
          <w:tcPr>
            <w:tcW w:w="1857" w:type="dxa"/>
            <w:vAlign w:val="top"/>
          </w:tcPr>
          <w:p w14:paraId="596076B8">
            <w:pPr>
              <w:spacing w:before="173" w:line="164" w:lineRule="auto"/>
              <w:ind w:left="765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0.40°</w:t>
            </w:r>
          </w:p>
        </w:tc>
        <w:tc>
          <w:tcPr>
            <w:tcW w:w="5508" w:type="dxa"/>
            <w:vAlign w:val="top"/>
          </w:tcPr>
          <w:p w14:paraId="2282D7AF">
            <w:pPr>
              <w:spacing w:before="54" w:line="176" w:lineRule="auto"/>
              <w:ind w:left="161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CIM</w:t>
            </w:r>
            <w:r>
              <w:rPr>
                <w:rFonts w:ascii="微软雅黑" w:hAnsi="微软雅黑" w:eastAsia="微软雅黑" w:cs="微软雅黑"/>
                <w:color w:val="000000"/>
                <w:spacing w:val="15"/>
                <w:w w:val="10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的离散相位导致微小角度漂移，仍在</w:t>
            </w:r>
            <w:r>
              <w:rPr>
                <w:rFonts w:ascii="微软雅黑" w:hAnsi="微软雅黑" w:eastAsia="微软雅黑" w:cs="微软雅黑"/>
                <w:color w:val="000000"/>
                <w:spacing w:val="12"/>
                <w:w w:val="10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1°</w:t>
            </w:r>
            <w:r>
              <w:rPr>
                <w:rFonts w:ascii="微软雅黑" w:hAnsi="微软雅黑" w:eastAsia="微软雅黑" w:cs="微软雅黑"/>
                <w:color w:val="000000"/>
                <w:spacing w:val="19"/>
                <w:w w:val="10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以内，符合</w:t>
            </w:r>
            <w:r>
              <w:rPr>
                <w:rFonts w:ascii="微软雅黑" w:hAnsi="微软雅黑" w:eastAsia="微软雅黑" w:cs="微软雅黑"/>
                <w:color w:val="000000"/>
                <w:spacing w:val="-3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论文“小误差容忍”结</w:t>
            </w:r>
            <w:r>
              <w:rPr>
                <w:rFonts w:ascii="微软雅黑" w:hAnsi="微软雅黑" w:eastAsia="微软雅黑" w:cs="微软雅黑"/>
                <w:color w:val="000000"/>
                <w:spacing w:val="-4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论。</w:t>
            </w:r>
          </w:p>
        </w:tc>
      </w:tr>
      <w:tr w14:paraId="611F307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240" w:type="dxa"/>
            <w:vAlign w:val="top"/>
          </w:tcPr>
          <w:p w14:paraId="5BE2FBA3">
            <w:pPr>
              <w:spacing w:before="170" w:line="171" w:lineRule="auto"/>
              <w:ind w:left="136"/>
              <w:rPr>
                <w:rFonts w:hint="eastAsia" w:ascii="微软雅黑" w:hAnsi="微软雅黑" w:eastAsia="微软雅黑" w:cs="微软雅黑"/>
                <w:sz w:val="16"/>
                <w:szCs w:val="16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3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旁瓣抑制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3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(</w:t>
            </w:r>
            <w:r>
              <w:rPr>
                <w:rFonts w:ascii="微软雅黑" w:hAnsi="微软雅黑" w:eastAsia="微软雅黑" w:cs="微软雅黑"/>
                <w:color w:val="000000"/>
                <w:spacing w:val="-3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SLL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3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)</w:t>
            </w:r>
          </w:p>
        </w:tc>
        <w:tc>
          <w:tcPr>
            <w:tcW w:w="1792" w:type="dxa"/>
            <w:vAlign w:val="top"/>
          </w:tcPr>
          <w:p w14:paraId="320073E8">
            <w:pPr>
              <w:spacing w:before="157" w:line="181" w:lineRule="auto"/>
              <w:ind w:left="289"/>
              <w:rPr>
                <w:rFonts w:hint="eastAsia" w:ascii="微软雅黑" w:hAnsi="微软雅黑" w:eastAsia="微软雅黑" w:cs="微软雅黑"/>
                <w:sz w:val="16"/>
                <w:szCs w:val="16"/>
                <w:lang w:eastAsia="zh-CN"/>
              </w:rPr>
            </w:pPr>
            <w:r>
              <w:rPr>
                <w:rFonts w:ascii="宋体" w:hAnsi="宋体" w:eastAsia="宋体" w:cs="宋体"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≈</w:t>
            </w:r>
            <w:r>
              <w:rPr>
                <w:rFonts w:ascii="微软雅黑" w:hAnsi="微软雅黑" w:eastAsia="微软雅黑" w:cs="微软雅黑"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-14 dB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7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(</w:t>
            </w:r>
            <w:r>
              <w:rPr>
                <w:rFonts w:ascii="微软雅黑" w:hAnsi="微软雅黑" w:eastAsia="微软雅黑" w:cs="微软雅黑"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图</w:t>
            </w:r>
            <w:r>
              <w:rPr>
                <w:rFonts w:ascii="微软雅黑" w:hAnsi="微软雅黑" w:eastAsia="微软雅黑" w:cs="微软雅黑"/>
                <w:color w:val="000000"/>
                <w:spacing w:val="14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6a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7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)</w:t>
            </w:r>
          </w:p>
        </w:tc>
        <w:tc>
          <w:tcPr>
            <w:tcW w:w="1857" w:type="dxa"/>
            <w:vAlign w:val="top"/>
          </w:tcPr>
          <w:p w14:paraId="03FE1D04">
            <w:pPr>
              <w:spacing w:before="175" w:line="168" w:lineRule="auto"/>
              <w:ind w:left="619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-10.72</w:t>
            </w:r>
            <w:r>
              <w:rPr>
                <w:rFonts w:ascii="微软雅黑" w:hAnsi="微软雅黑" w:eastAsia="微软雅黑" w:cs="微软雅黑"/>
                <w:color w:val="000000"/>
                <w:spacing w:val="6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dB</w:t>
            </w:r>
          </w:p>
        </w:tc>
        <w:tc>
          <w:tcPr>
            <w:tcW w:w="5508" w:type="dxa"/>
            <w:vAlign w:val="top"/>
          </w:tcPr>
          <w:p w14:paraId="6EAD8B6A">
            <w:pPr>
              <w:spacing w:before="60" w:line="176" w:lineRule="auto"/>
              <w:ind w:left="119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时间槽数从 8</w:t>
            </w:r>
            <w:r>
              <w:rPr>
                <w:rFonts w:ascii="微软雅黑" w:hAnsi="微软雅黑" w:eastAsia="微软雅黑" w:cs="微软雅黑"/>
                <w:color w:val="000000"/>
                <w:spacing w:val="1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降到 4，可等效于“比特深度”降低，导致 SLL 恶化约 3</w:t>
            </w:r>
            <w:r>
              <w:rPr>
                <w:rFonts w:ascii="微软雅黑" w:hAnsi="微软雅黑" w:eastAsia="微软雅黑" w:cs="微软雅黑"/>
                <w:color w:val="000000"/>
                <w:spacing w:val="-3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dB，与论</w:t>
            </w:r>
            <w:r>
              <w:rPr>
                <w:rFonts w:ascii="微软雅黑" w:hAnsi="微软雅黑" w:eastAsia="微软雅黑" w:cs="微软雅黑"/>
                <w:color w:val="000000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文“时间槽越多，旁瓣越低”趋势一致。</w:t>
            </w:r>
          </w:p>
        </w:tc>
      </w:tr>
      <w:tr w14:paraId="2E0BEB4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" w:hRule="atLeast"/>
        </w:trPr>
        <w:tc>
          <w:tcPr>
            <w:tcW w:w="1240" w:type="dxa"/>
            <w:vAlign w:val="top"/>
          </w:tcPr>
          <w:p w14:paraId="0D81EAB2">
            <w:pPr>
              <w:spacing w:line="250" w:lineRule="auto"/>
              <w:rPr>
                <w:rFonts w:ascii="Arial"/>
                <w:sz w:val="16"/>
                <w:szCs w:val="16"/>
              </w:rPr>
            </w:pPr>
          </w:p>
          <w:p w14:paraId="54A136CA">
            <w:pPr>
              <w:spacing w:before="64" w:line="176" w:lineRule="auto"/>
              <w:ind w:left="97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非目标谐波抑制</w:t>
            </w:r>
          </w:p>
        </w:tc>
        <w:tc>
          <w:tcPr>
            <w:tcW w:w="1792" w:type="dxa"/>
            <w:vAlign w:val="top"/>
          </w:tcPr>
          <w:p w14:paraId="6CD7738E">
            <w:pPr>
              <w:spacing w:line="264" w:lineRule="auto"/>
              <w:rPr>
                <w:rFonts w:ascii="Arial"/>
                <w:sz w:val="16"/>
                <w:szCs w:val="16"/>
              </w:rPr>
            </w:pPr>
          </w:p>
          <w:p w14:paraId="0F0CD127">
            <w:pPr>
              <w:spacing w:before="64" w:line="168" w:lineRule="auto"/>
              <w:ind w:left="662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1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&lt;-25</w:t>
            </w:r>
            <w:r>
              <w:rPr>
                <w:rFonts w:ascii="微软雅黑" w:hAnsi="微软雅黑" w:eastAsia="微软雅黑" w:cs="微软雅黑"/>
                <w:color w:val="000000"/>
                <w:spacing w:val="7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1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dB</w:t>
            </w:r>
          </w:p>
        </w:tc>
        <w:tc>
          <w:tcPr>
            <w:tcW w:w="1857" w:type="dxa"/>
            <w:vAlign w:val="top"/>
          </w:tcPr>
          <w:p w14:paraId="0C881BE9">
            <w:pPr>
              <w:spacing w:line="264" w:lineRule="auto"/>
              <w:rPr>
                <w:rFonts w:ascii="Arial"/>
                <w:sz w:val="16"/>
                <w:szCs w:val="16"/>
              </w:rPr>
            </w:pPr>
          </w:p>
          <w:p w14:paraId="4FE00E5B">
            <w:pPr>
              <w:spacing w:before="65" w:line="168" w:lineRule="auto"/>
              <w:ind w:left="655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10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&lt;-100</w:t>
            </w:r>
            <w:r>
              <w:rPr>
                <w:rFonts w:ascii="微软雅黑" w:hAnsi="微软雅黑" w:eastAsia="微软雅黑" w:cs="微软雅黑"/>
                <w:color w:val="000000"/>
                <w:spacing w:val="4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10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dB</w:t>
            </w:r>
          </w:p>
        </w:tc>
        <w:tc>
          <w:tcPr>
            <w:tcW w:w="5508" w:type="dxa"/>
            <w:vAlign w:val="top"/>
          </w:tcPr>
          <w:p w14:paraId="1FB46EDA">
            <w:pPr>
              <w:spacing w:before="115" w:line="172" w:lineRule="auto"/>
              <w:ind w:left="122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QUBO 模型的耦合系数直接源于散射功率公式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1"/>
                <w:sz w:val="16"/>
                <w:szCs w:val="16"/>
                <w:lang w:eastAsia="zh-CN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(</w:t>
            </w: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含空间相位、时间调制、谐波特性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9"/>
                <w:sz w:val="16"/>
                <w:szCs w:val="16"/>
                <w:lang w:eastAsia="zh-CN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)</w:t>
            </w:r>
            <w:r>
              <w:rPr>
                <w:rFonts w:ascii="微软雅黑" w:hAnsi="微软雅黑" w:eastAsia="微软雅黑" w:cs="微软雅黑"/>
                <w:color w:val="000000"/>
                <w:spacing w:val="9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，</w:t>
            </w: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与超表面的物理机制严格匹配，</w:t>
            </w:r>
            <w:r>
              <w:rPr>
                <w:rFonts w:ascii="微软雅黑" w:hAnsi="微软雅黑" w:eastAsia="微软雅黑" w:cs="微软雅黑"/>
                <w:color w:val="000000"/>
                <w:spacing w:val="-22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因此非目标谐波抑制等 “隐性指标” 表</w:t>
            </w:r>
            <w:r>
              <w:rPr>
                <w:rFonts w:ascii="微软雅黑" w:hAnsi="微软雅黑" w:eastAsia="微软雅黑" w:cs="微软雅黑"/>
                <w:color w:val="000000"/>
                <w:spacing w:val="-2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现优异。</w:t>
            </w:r>
          </w:p>
        </w:tc>
      </w:tr>
      <w:tr w14:paraId="7A7F756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240" w:type="dxa"/>
            <w:vAlign w:val="top"/>
          </w:tcPr>
          <w:p w14:paraId="48DF3BA3">
            <w:pPr>
              <w:spacing w:before="93" w:line="177" w:lineRule="auto"/>
              <w:ind w:left="155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3 dB</w:t>
            </w:r>
            <w:r>
              <w:rPr>
                <w:rFonts w:ascii="微软雅黑" w:hAnsi="微软雅黑" w:eastAsia="微软雅黑" w:cs="微软雅黑"/>
                <w:color w:val="000000"/>
                <w:spacing w:val="3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pacing w:val="-5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波束宽度</w:t>
            </w:r>
          </w:p>
        </w:tc>
        <w:tc>
          <w:tcPr>
            <w:tcW w:w="1792" w:type="dxa"/>
            <w:vAlign w:val="top"/>
          </w:tcPr>
          <w:p w14:paraId="4BF37B48">
            <w:pPr>
              <w:spacing w:before="90" w:line="181" w:lineRule="auto"/>
              <w:ind w:left="399"/>
              <w:rPr>
                <w:rFonts w:hint="eastAsia" w:ascii="微软雅黑" w:hAnsi="微软雅黑" w:eastAsia="微软雅黑" w:cs="微软雅黑"/>
                <w:sz w:val="16"/>
                <w:szCs w:val="16"/>
                <w:lang w:eastAsia="zh-CN"/>
              </w:rPr>
            </w:pPr>
            <w:r>
              <w:rPr>
                <w:rFonts w:ascii="宋体" w:hAnsi="宋体" w:eastAsia="宋体" w:cs="宋体"/>
                <w:color w:val="000000"/>
                <w:spacing w:val="-6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≈</w:t>
            </w:r>
            <w:r>
              <w:rPr>
                <w:rFonts w:ascii="微软雅黑" w:hAnsi="微软雅黑" w:eastAsia="微软雅黑" w:cs="微软雅黑"/>
                <w:color w:val="000000"/>
                <w:spacing w:val="-6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12°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6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(</w:t>
            </w:r>
            <w:r>
              <w:rPr>
                <w:rFonts w:ascii="微软雅黑" w:hAnsi="微软雅黑" w:eastAsia="微软雅黑" w:cs="微软雅黑"/>
                <w:color w:val="000000"/>
                <w:spacing w:val="-6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图 6a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-6"/>
                <w:sz w:val="16"/>
                <w:szCs w:val="16"/>
                <w:lang w:eastAsia="zh-CN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)</w:t>
            </w:r>
          </w:p>
        </w:tc>
        <w:tc>
          <w:tcPr>
            <w:tcW w:w="1857" w:type="dxa"/>
            <w:vAlign w:val="top"/>
          </w:tcPr>
          <w:p w14:paraId="6D93E0E6">
            <w:pPr>
              <w:spacing w:before="111" w:line="165" w:lineRule="auto"/>
              <w:ind w:left="735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8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13.27°</w:t>
            </w:r>
          </w:p>
        </w:tc>
        <w:tc>
          <w:tcPr>
            <w:tcW w:w="5508" w:type="dxa"/>
            <w:vAlign w:val="top"/>
          </w:tcPr>
          <w:p w14:paraId="57ECAB46">
            <w:pPr>
              <w:spacing w:before="94" w:line="176" w:lineRule="auto"/>
              <w:ind w:left="808"/>
              <w:rPr>
                <w:rFonts w:ascii="微软雅黑" w:hAnsi="微软雅黑" w:eastAsia="微软雅黑" w:cs="微软雅黑"/>
                <w:sz w:val="16"/>
                <w:szCs w:val="16"/>
              </w:rPr>
            </w:pP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时间槽减少</w:t>
            </w:r>
            <w:r>
              <w:rPr>
                <w:rFonts w:ascii="微软雅黑" w:hAnsi="微软雅黑" w:eastAsia="微软雅黑" w:cs="微软雅黑"/>
                <w:color w:val="000000"/>
                <w:spacing w:val="-3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→</w:t>
            </w: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等效孔径减小</w:t>
            </w:r>
            <w:r>
              <w:rPr>
                <w:rFonts w:ascii="微软雅黑" w:hAnsi="微软雅黑" w:eastAsia="微软雅黑" w:cs="微软雅黑"/>
                <w:color w:val="000000"/>
                <w:spacing w:val="-32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→</w:t>
            </w:r>
            <w:r>
              <w:rPr>
                <w:rFonts w:ascii="微软雅黑" w:hAnsi="微软雅黑" w:eastAsia="微软雅黑" w:cs="微软雅黑"/>
                <w:color w:val="000000"/>
                <w:spacing w:val="-1"/>
                <w:sz w:val="16"/>
                <w:szCs w:val="16"/>
                <w14:textFill>
                  <w14:solidFill>
                    <w14:srgbClr w14:val="000000">
                      <w14:alpha w14:val="10588"/>
                    </w14:srgbClr>
                  </w14:solidFill>
                </w14:textFill>
              </w:rPr>
              <w:t>波束略宽，与论文趋势吻合。</w:t>
            </w:r>
          </w:p>
        </w:tc>
      </w:tr>
    </w:tbl>
    <w:p w14:paraId="23A7D3B8">
      <w:pPr>
        <w:spacing w:before="260" w:line="175" w:lineRule="auto"/>
        <w:ind w:left="26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000000"/>
          <w:spacing w:val="-3"/>
          <w:sz w:val="24"/>
          <w:szCs w:val="24"/>
          <w14:textFill>
            <w14:solidFill>
              <w14:srgbClr w14:val="000000">
                <w14:alpha w14:val="10588"/>
              </w14:srgbClr>
            </w14:solidFill>
          </w14:textFill>
        </w:rPr>
        <w:t>2.时间性能对比</w:t>
      </w:r>
    </w:p>
    <w:p w14:paraId="584DEC52">
      <w:pPr>
        <w:spacing w:line="137" w:lineRule="exact"/>
      </w:pPr>
    </w:p>
    <w:tbl>
      <w:tblPr>
        <w:tblStyle w:val="12"/>
        <w:tblW w:w="10455" w:type="dxa"/>
        <w:tblInd w:w="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1370"/>
        <w:gridCol w:w="1371"/>
        <w:gridCol w:w="1370"/>
        <w:gridCol w:w="1370"/>
        <w:gridCol w:w="3422"/>
      </w:tblGrid>
      <w:tr w14:paraId="704B71C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9" w:hRule="atLeast"/>
        </w:trPr>
        <w:tc>
          <w:tcPr>
            <w:tcW w:w="1552" w:type="dxa"/>
            <w:vAlign w:val="top"/>
          </w:tcPr>
          <w:p w14:paraId="445A447A">
            <w:pPr>
              <w:spacing w:before="163" w:line="203" w:lineRule="auto"/>
              <w:ind w:left="531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pacing w:val="9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Metric</w:t>
            </w:r>
          </w:p>
        </w:tc>
        <w:tc>
          <w:tcPr>
            <w:tcW w:w="1370" w:type="dxa"/>
            <w:vAlign w:val="top"/>
          </w:tcPr>
          <w:p w14:paraId="24BF3668">
            <w:pPr>
              <w:spacing w:before="163" w:line="203" w:lineRule="auto"/>
              <w:ind w:left="590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SB</w:t>
            </w:r>
          </w:p>
        </w:tc>
        <w:tc>
          <w:tcPr>
            <w:tcW w:w="1371" w:type="dxa"/>
            <w:vAlign w:val="top"/>
          </w:tcPr>
          <w:p w14:paraId="4D45D02E">
            <w:pPr>
              <w:spacing w:before="162" w:line="204" w:lineRule="auto"/>
              <w:ind w:left="589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pacing w:val="-8"/>
                <w:w w:val="99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GA</w:t>
            </w:r>
          </w:p>
        </w:tc>
        <w:tc>
          <w:tcPr>
            <w:tcW w:w="1370" w:type="dxa"/>
            <w:vAlign w:val="top"/>
          </w:tcPr>
          <w:p w14:paraId="294F5AE7">
            <w:pPr>
              <w:spacing w:before="163" w:line="191" w:lineRule="auto"/>
              <w:ind w:left="531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pacing w:val="-6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QGA</w:t>
            </w:r>
          </w:p>
        </w:tc>
        <w:tc>
          <w:tcPr>
            <w:tcW w:w="1370" w:type="dxa"/>
            <w:vAlign w:val="top"/>
          </w:tcPr>
          <w:p w14:paraId="7D7DDC2F">
            <w:pPr>
              <w:spacing w:before="163" w:line="203" w:lineRule="auto"/>
              <w:ind w:left="596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pacing w:val="-7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SA</w:t>
            </w:r>
          </w:p>
        </w:tc>
        <w:tc>
          <w:tcPr>
            <w:tcW w:w="3422" w:type="dxa"/>
            <w:vAlign w:val="top"/>
          </w:tcPr>
          <w:p w14:paraId="3938F62E">
            <w:pPr>
              <w:spacing w:before="141" w:line="230" w:lineRule="auto"/>
              <w:ind w:left="1261"/>
              <w:rPr>
                <w:rFonts w:ascii="宋体" w:hAnsi="宋体" w:eastAsia="宋体" w:cs="宋体"/>
                <w:sz w:val="16"/>
                <w:szCs w:val="16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QUBO</w:t>
            </w:r>
            <w:r>
              <w:rPr>
                <w:rFonts w:ascii="Arial" w:hAnsi="Arial" w:eastAsia="Arial" w:cs="Arial"/>
                <w:b/>
                <w:bCs/>
                <w:color w:val="000000"/>
                <w:spacing w:val="13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+</w:t>
            </w:r>
            <w:r>
              <w:rPr>
                <w:rFonts w:ascii="Arial" w:hAnsi="Arial" w:eastAsia="Arial" w:cs="Arial"/>
                <w:b/>
                <w:bCs/>
                <w:color w:val="00000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CIM</w:t>
            </w:r>
            <w:r>
              <w:rPr>
                <w:rFonts w:ascii="宋体" w:hAnsi="宋体" w:eastAsia="宋体" w:cs="宋体"/>
                <w:b/>
                <w:bCs/>
                <w:color w:val="000000"/>
                <w:spacing w:val="13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真机</w:t>
            </w:r>
          </w:p>
        </w:tc>
      </w:tr>
      <w:tr w14:paraId="27255DA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552" w:type="dxa"/>
            <w:vAlign w:val="top"/>
          </w:tcPr>
          <w:p w14:paraId="3A71CD43">
            <w:pPr>
              <w:spacing w:before="19" w:line="179" w:lineRule="exact"/>
              <w:ind w:left="170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11"/>
                <w:position w:val="2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Time-to-Target</w:t>
            </w:r>
          </w:p>
          <w:p w14:paraId="6B90DD3C">
            <w:pPr>
              <w:spacing w:line="179" w:lineRule="exact"/>
              <w:ind w:left="684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6"/>
                <w:position w:val="2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(s)</w:t>
            </w:r>
          </w:p>
        </w:tc>
        <w:tc>
          <w:tcPr>
            <w:tcW w:w="1370" w:type="dxa"/>
            <w:vAlign w:val="top"/>
          </w:tcPr>
          <w:p w14:paraId="128C2413">
            <w:pPr>
              <w:spacing w:before="108" w:line="180" w:lineRule="exact"/>
              <w:ind w:left="596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8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15</w:t>
            </w:r>
          </w:p>
        </w:tc>
        <w:tc>
          <w:tcPr>
            <w:tcW w:w="1371" w:type="dxa"/>
            <w:vAlign w:val="top"/>
          </w:tcPr>
          <w:p w14:paraId="4545A636">
            <w:pPr>
              <w:spacing w:before="110" w:line="180" w:lineRule="exact"/>
              <w:ind w:left="532"/>
              <w:jc w:val="left"/>
              <w:rPr>
                <w:rFonts w:ascii="宋体" w:hAnsi="宋体" w:eastAsia="宋体" w:cs="宋体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60</w:t>
            </w:r>
            <w:r>
              <w:rPr>
                <w:rFonts w:hint="eastAsia" w:eastAsia="宋体" w:cs="Arial"/>
                <w:color w:val="000000"/>
                <w:spacing w:val="20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,</w:t>
            </w: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904</w:t>
            </w:r>
          </w:p>
        </w:tc>
        <w:tc>
          <w:tcPr>
            <w:tcW w:w="1370" w:type="dxa"/>
            <w:vAlign w:val="top"/>
          </w:tcPr>
          <w:p w14:paraId="14FE2F6B">
            <w:pPr>
              <w:spacing w:before="110" w:line="180" w:lineRule="exact"/>
              <w:ind w:left="532"/>
              <w:jc w:val="left"/>
              <w:rPr>
                <w:rFonts w:ascii="宋体" w:hAnsi="宋体" w:eastAsia="宋体" w:cs="宋体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50</w:t>
            </w:r>
            <w:r>
              <w:rPr>
                <w:rFonts w:hint="eastAsia" w:eastAsia="宋体" w:cs="Arial"/>
                <w:color w:val="000000"/>
                <w:spacing w:val="20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,</w:t>
            </w: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063</w:t>
            </w:r>
          </w:p>
        </w:tc>
        <w:tc>
          <w:tcPr>
            <w:tcW w:w="1370" w:type="dxa"/>
            <w:vAlign w:val="top"/>
          </w:tcPr>
          <w:p w14:paraId="06252FA3">
            <w:pPr>
              <w:spacing w:before="110" w:line="180" w:lineRule="exact"/>
              <w:ind w:left="532"/>
              <w:jc w:val="left"/>
              <w:rPr>
                <w:rFonts w:ascii="宋体" w:hAnsi="宋体" w:eastAsia="宋体" w:cs="宋体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3</w:t>
            </w:r>
            <w:r>
              <w:rPr>
                <w:rFonts w:hint="eastAsia" w:eastAsia="宋体" w:cs="Arial"/>
                <w:color w:val="000000"/>
                <w:spacing w:val="20"/>
                <w:sz w:val="16"/>
                <w:szCs w:val="16"/>
                <w:lang w:val="en-US" w:eastAsia="zh-CN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,</w:t>
            </w: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275</w:t>
            </w:r>
          </w:p>
        </w:tc>
        <w:tc>
          <w:tcPr>
            <w:tcW w:w="3422" w:type="dxa"/>
            <w:vAlign w:val="top"/>
          </w:tcPr>
          <w:p w14:paraId="2827B215">
            <w:pPr>
              <w:spacing w:before="109" w:line="236" w:lineRule="auto"/>
              <w:ind w:left="527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1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11.19(</w:t>
            </w:r>
            <w:r>
              <w:rPr>
                <w:rFonts w:ascii="宋体" w:hAnsi="宋体" w:eastAsia="宋体" w:cs="宋体"/>
                <w:color w:val="000000"/>
                <w:spacing w:val="1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预处理</w:t>
            </w:r>
            <w:r>
              <w:rPr>
                <w:rFonts w:ascii="Arial" w:hAnsi="Arial" w:eastAsia="Arial" w:cs="Arial"/>
                <w:color w:val="000000"/>
                <w:spacing w:val="1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)+0.001481(</w:t>
            </w:r>
            <w:r>
              <w:rPr>
                <w:rFonts w:ascii="宋体" w:hAnsi="宋体" w:eastAsia="宋体" w:cs="宋体"/>
                <w:color w:val="000000"/>
                <w:spacing w:val="1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单次采样</w:t>
            </w:r>
            <w:r>
              <w:rPr>
                <w:rFonts w:ascii="Arial" w:hAnsi="Arial" w:eastAsia="Arial" w:cs="Arial"/>
                <w:color w:val="000000"/>
                <w:spacing w:val="1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)</w:t>
            </w:r>
          </w:p>
        </w:tc>
      </w:tr>
      <w:tr w14:paraId="7E9546C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atLeast"/>
        </w:trPr>
        <w:tc>
          <w:tcPr>
            <w:tcW w:w="1552" w:type="dxa"/>
            <w:vAlign w:val="top"/>
          </w:tcPr>
          <w:p w14:paraId="369C8A78">
            <w:pPr>
              <w:spacing w:before="45" w:line="211" w:lineRule="auto"/>
              <w:ind w:left="140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5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Single-Run</w:t>
            </w:r>
            <w:r>
              <w:rPr>
                <w:rFonts w:ascii="Arial" w:hAnsi="Arial" w:eastAsia="Arial" w:cs="Arial"/>
                <w:color w:val="000000"/>
                <w:spacing w:val="22"/>
                <w:w w:val="101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 xml:space="preserve"> </w:t>
            </w:r>
            <w:r>
              <w:rPr>
                <w:rFonts w:ascii="Arial" w:hAnsi="Arial" w:eastAsia="Arial" w:cs="Arial"/>
                <w:color w:val="000000"/>
                <w:spacing w:val="5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Time</w:t>
            </w:r>
          </w:p>
          <w:p w14:paraId="5EF10318">
            <w:pPr>
              <w:spacing w:before="3" w:line="180" w:lineRule="exact"/>
              <w:ind w:left="684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6"/>
                <w:position w:val="2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(s)</w:t>
            </w:r>
          </w:p>
        </w:tc>
        <w:tc>
          <w:tcPr>
            <w:tcW w:w="1370" w:type="dxa"/>
            <w:vAlign w:val="top"/>
          </w:tcPr>
          <w:p w14:paraId="6075D17D">
            <w:pPr>
              <w:spacing w:before="110" w:line="180" w:lineRule="exact"/>
              <w:ind w:left="596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8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15</w:t>
            </w:r>
          </w:p>
        </w:tc>
        <w:tc>
          <w:tcPr>
            <w:tcW w:w="1371" w:type="dxa"/>
            <w:vAlign w:val="top"/>
          </w:tcPr>
          <w:p w14:paraId="780174B9">
            <w:pPr>
              <w:spacing w:before="110" w:line="180" w:lineRule="exact"/>
              <w:ind w:left="532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662</w:t>
            </w:r>
          </w:p>
        </w:tc>
        <w:tc>
          <w:tcPr>
            <w:tcW w:w="1370" w:type="dxa"/>
            <w:vAlign w:val="top"/>
          </w:tcPr>
          <w:p w14:paraId="7D708178">
            <w:pPr>
              <w:spacing w:before="110" w:line="180" w:lineRule="exact"/>
              <w:ind w:left="532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2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653</w:t>
            </w:r>
          </w:p>
        </w:tc>
        <w:tc>
          <w:tcPr>
            <w:tcW w:w="1370" w:type="dxa"/>
            <w:vAlign w:val="top"/>
          </w:tcPr>
          <w:p w14:paraId="2616D70A">
            <w:pPr>
              <w:spacing w:before="110" w:line="180" w:lineRule="exact"/>
              <w:ind w:left="595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10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91</w:t>
            </w:r>
          </w:p>
        </w:tc>
        <w:tc>
          <w:tcPr>
            <w:tcW w:w="3422" w:type="dxa"/>
            <w:vAlign w:val="top"/>
          </w:tcPr>
          <w:p w14:paraId="504E063F">
            <w:pPr>
              <w:spacing w:before="110" w:line="180" w:lineRule="exact"/>
              <w:ind w:left="1463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color w:val="000000"/>
                <w:spacing w:val="15"/>
                <w:sz w:val="16"/>
                <w:szCs w:val="16"/>
                <w14:textFill>
                  <w14:solidFill>
                    <w14:srgbClr w14:val="000000">
                      <w14:alpha w14:val="392"/>
                    </w14:srgbClr>
                  </w14:solidFill>
                </w14:textFill>
              </w:rPr>
              <w:t>0.001481</w:t>
            </w:r>
          </w:p>
        </w:tc>
      </w:tr>
    </w:tbl>
    <w:p w14:paraId="7CFD614D">
      <w:pPr>
        <w:spacing w:before="207" w:line="176" w:lineRule="auto"/>
        <w:ind w:left="231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color w:val="000000"/>
          <w:spacing w:val="-3"/>
          <w:sz w:val="24"/>
          <w:szCs w:val="24"/>
          <w14:textFill>
            <w14:solidFill>
              <w14:srgbClr w14:val="000000">
                <w14:alpha w14:val="10588"/>
              </w14:srgbClr>
            </w14:solidFill>
          </w14:textFill>
        </w:rPr>
        <w:t>3.维度可扩展性</w:t>
      </w:r>
    </w:p>
    <w:p w14:paraId="68CF47FA">
      <w:pPr>
        <w:spacing w:before="200" w:line="255" w:lineRule="auto"/>
        <w:ind w:left="133" w:right="602" w:firstLine="432"/>
        <w:jc w:val="both"/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</w:pPr>
      <w:r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a.本次实验维度：8×8×4×2 = 512 个二进制变量。</w:t>
      </w:r>
    </w:p>
    <w:p w14:paraId="1D633F89">
      <w:pPr>
        <w:spacing w:before="200" w:line="255" w:lineRule="auto"/>
        <w:ind w:left="133" w:right="602" w:firstLine="432"/>
        <w:jc w:val="both"/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</w:pPr>
      <w:r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b.论文最大实验维度：15×15×8×2 = 3600 变量。</w:t>
      </w:r>
    </w:p>
    <w:p w14:paraId="21CB3F89">
      <w:pPr>
        <w:spacing w:before="200" w:line="255" w:lineRule="auto"/>
        <w:ind w:left="133" w:right="602" w:firstLine="432"/>
        <w:jc w:val="both"/>
        <w:rPr>
          <w:rFonts w:ascii="Arial"/>
          <w:sz w:val="21"/>
        </w:rPr>
      </w:pPr>
      <w:r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c.根据论文拟合的复杂度模型 T～N1.82，CIM 真机 3600 变量单次采样理论耗时 &lt; 5 ms，远快于 SB 的秒级耗时。</w:t>
      </w:r>
    </w:p>
    <w:p w14:paraId="1492B58A"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5.总结</w:t>
      </w:r>
    </w:p>
    <w:p w14:paraId="3818E654">
      <w:pPr>
        <w:spacing w:before="200" w:line="255" w:lineRule="auto"/>
        <w:ind w:left="133" w:right="602" w:firstLine="432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QUBO</w:t>
      </w:r>
      <w:r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+</w:t>
      </w: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CIM</w:t>
      </w:r>
      <w:r>
        <w:rPr>
          <w:rFonts w:ascii="宋体" w:hAnsi="宋体" w:eastAsia="宋体" w:cs="宋体"/>
          <w:color w:val="000000"/>
          <w:spacing w:val="-2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通过物理模型与</w:t>
      </w:r>
      <w:r>
        <w:rPr>
          <w:rFonts w:ascii="宋体" w:hAnsi="宋体" w:eastAsia="宋体" w:cs="宋体"/>
          <w:color w:val="000000"/>
          <w:spacing w:val="-39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QUBO</w:t>
      </w:r>
      <w:r>
        <w:rPr>
          <w:rFonts w:ascii="宋体" w:hAnsi="宋体" w:eastAsia="宋体" w:cs="宋体"/>
          <w:color w:val="000000"/>
          <w:spacing w:val="-3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8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矩阵的紧耦合，实现主瓣、旁瓣、谐波的协同优化，精度全面超越传</w:t>
      </w:r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统算法。</w:t>
      </w: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QUBO</w:t>
      </w:r>
      <w:r>
        <w:rPr>
          <w:rFonts w:ascii="宋体" w:hAnsi="宋体" w:eastAsia="宋体" w:cs="宋体"/>
          <w:color w:val="000000"/>
          <w:spacing w:val="-36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模型的计算复杂度主要集中在矩阵构造</w:t>
      </w:r>
      <w:r>
        <w:rPr>
          <w:rFonts w:hint="eastAsia" w:ascii="宋体" w:hAnsi="宋体" w:eastAsia="宋体" w:cs="宋体"/>
          <w:color w:val="000000"/>
          <w:spacing w:val="6"/>
          <w:sz w:val="24"/>
          <w:szCs w:val="24"/>
          <w:lang w:eastAsia="zh-CN"/>
          <w14:textFill>
            <w14:solidFill>
              <w14:srgbClr w14:val="000000">
                <w14:alpha w14:val="15686"/>
              </w14:srgbClr>
            </w14:solidFill>
          </w14:textFill>
        </w:rPr>
        <w:t>(</w:t>
      </w:r>
      <m:oMath>
        <m:r>
          <m:rPr/>
          <w:rPr>
            <w:rFonts w:hint="default" w:ascii="Cambria Math" w:hAnsi="Cambria Math" w:eastAsia="宋体"/>
            <w:sz w:val="24"/>
          </w:rPr>
          <m:t>O(</m:t>
        </m:r>
        <m:sSup>
          <m:sSupPr>
            <m:ctrlPr>
              <w:rPr>
                <w:rFonts w:hint="default" w:ascii="Cambria Math" w:hAnsi="Cambria Math" w:eastAsia="宋体"/>
                <w:sz w:val="24"/>
              </w:rPr>
            </m:ctrlPr>
          </m:sSupPr>
          <m:e>
            <m:r>
              <m:rPr/>
              <w:rPr>
                <w:rFonts w:hint="default" w:ascii="Cambria Math" w:hAnsi="Cambria Math" w:eastAsia="宋体"/>
                <w:sz w:val="24"/>
              </w:rPr>
              <m:t>N</m:t>
            </m:r>
            <m:ctrlPr>
              <w:rPr>
                <w:rFonts w:ascii="Cambria Math" w:hAnsi="Cambria Math" w:eastAsia="宋体"/>
                <w:sz w:val="24"/>
              </w:rPr>
            </m:ctrlPr>
          </m:e>
          <m:sup>
            <m:r>
              <m:rPr/>
              <w:rPr>
                <w:rFonts w:hint="default"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sz w:val="24"/>
              </w:rPr>
            </m:ctrlPr>
          </m:sup>
        </m:sSup>
      </m:oMath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)，</w:t>
      </w:r>
      <w:r>
        <w:rPr>
          <w:rFonts w:ascii="宋体" w:hAnsi="宋体" w:eastAsia="宋体" w:cs="宋体"/>
          <w:b/>
          <w:bCs/>
          <w:color w:val="000000"/>
          <w:spacing w:val="6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N</w:t>
      </w:r>
      <w:r>
        <w:rPr>
          <w:rFonts w:ascii="宋体" w:hAnsi="宋体" w:eastAsia="宋体" w:cs="宋体"/>
          <w:color w:val="000000"/>
          <w:spacing w:val="-35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为</w:t>
      </w:r>
      <w:r>
        <w:rPr>
          <w:rFonts w:ascii="宋体" w:hAnsi="宋体" w:eastAsia="宋体" w:cs="宋体"/>
          <w:color w:val="000000"/>
          <w:spacing w:val="5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变量数</w:t>
      </w:r>
      <w:r>
        <w:rPr>
          <w:rFonts w:hint="eastAsia" w:ascii="宋体" w:hAnsi="宋体" w:eastAsia="宋体" w:cs="宋体"/>
          <w:color w:val="000000"/>
          <w:spacing w:val="12"/>
          <w:sz w:val="24"/>
          <w:szCs w:val="24"/>
          <w:lang w:eastAsia="zh-CN"/>
          <w14:textFill>
            <w14:solidFill>
              <w14:srgbClr w14:val="000000">
                <w14:alpha w14:val="15686"/>
              </w14:srgbClr>
            </w14:solidFill>
          </w14:textFill>
        </w:rPr>
        <w:t>)</w:t>
      </w:r>
      <w:r>
        <w:rPr>
          <w:rFonts w:ascii="宋体" w:hAnsi="宋体" w:eastAsia="宋体" w:cs="宋体"/>
          <w:color w:val="000000"/>
          <w:spacing w:val="12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，</w:t>
      </w:r>
      <w:r>
        <w:rPr>
          <w:rFonts w:ascii="宋体" w:hAnsi="宋体" w:eastAsia="宋体" w:cs="宋体"/>
          <w:color w:val="000000"/>
          <w:spacing w:val="5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而</w:t>
      </w:r>
      <w:r>
        <w:rPr>
          <w:rFonts w:ascii="宋体" w:hAnsi="宋体" w:eastAsia="宋体" w:cs="宋体"/>
          <w:color w:val="000000"/>
          <w:spacing w:val="-39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CIM</w:t>
      </w:r>
      <w:r>
        <w:rPr>
          <w:rFonts w:ascii="宋体" w:hAnsi="宋体" w:eastAsia="宋体" w:cs="宋体"/>
          <w:color w:val="000000"/>
          <w:spacing w:val="-35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5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求解时间几乎不随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维度增加</w:t>
      </w:r>
      <w:r>
        <w:rPr>
          <w:rFonts w:hint="eastAsia" w:ascii="宋体" w:hAnsi="宋体" w:eastAsia="宋体" w:cs="宋体"/>
          <w:color w:val="000000"/>
          <w:spacing w:val="7"/>
          <w:sz w:val="24"/>
          <w:szCs w:val="24"/>
          <w:lang w:eastAsia="zh-CN"/>
          <w14:textFill>
            <w14:solidFill>
              <w14:srgbClr w14:val="000000">
                <w14:alpha w14:val="15686"/>
              </w14:srgbClr>
            </w14:solidFill>
          </w14:textFill>
        </w:rPr>
        <w:t>(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硬件并行特性</w:t>
      </w:r>
      <w:r>
        <w:rPr>
          <w:rFonts w:hint="eastAsia" w:ascii="宋体" w:hAnsi="宋体" w:eastAsia="宋体" w:cs="宋体"/>
          <w:color w:val="000000"/>
          <w:spacing w:val="29"/>
          <w:sz w:val="24"/>
          <w:szCs w:val="24"/>
          <w:lang w:eastAsia="zh-CN"/>
          <w14:textFill>
            <w14:solidFill>
              <w14:srgbClr w14:val="000000">
                <w14:alpha w14:val="15686"/>
              </w14:srgbClr>
            </w14:solidFill>
          </w14:textFill>
        </w:rPr>
        <w:t>)</w:t>
      </w:r>
      <w:r>
        <w:rPr>
          <w:rFonts w:ascii="宋体" w:hAnsi="宋体" w:eastAsia="宋体" w:cs="宋体"/>
          <w:color w:val="000000"/>
          <w:spacing w:val="29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，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15686"/>
              </w14:srgbClr>
            </w14:solidFill>
          </w14:textFill>
        </w:rPr>
        <w:t>因此在高维时空编码超表面中优势更明显，其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依托</w:t>
      </w: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CIM</w:t>
      </w:r>
      <w:r>
        <w:rPr>
          <w:rFonts w:ascii="宋体" w:hAnsi="宋体" w:eastAsia="宋体" w:cs="宋体"/>
          <w:color w:val="000000"/>
          <w:spacing w:val="-3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硬件并行性，将单次求解时间压缩至毫秒级，突破传统算法的</w:t>
      </w:r>
      <w:r>
        <w:rPr>
          <w:rFonts w:ascii="宋体" w:hAnsi="宋体" w:eastAsia="宋体" w:cs="宋体"/>
          <w:color w:val="000000"/>
          <w:spacing w:val="-36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“维度灾难”。</w:t>
      </w:r>
    </w:p>
    <w:p w14:paraId="4579F32F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QUBO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+</w:t>
      </w:r>
      <w:r>
        <w:rPr>
          <w:rFonts w:ascii="宋体" w:hAnsi="宋体" w:eastAsia="宋体" w:cs="宋体"/>
          <w:color w:val="00000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CIM</w:t>
      </w:r>
      <w:r>
        <w:rPr>
          <w:rFonts w:ascii="宋体" w:hAnsi="宋体" w:eastAsia="宋体" w:cs="宋体"/>
          <w:color w:val="000000"/>
          <w:spacing w:val="-19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的预处理</w:t>
      </w:r>
      <w:r>
        <w:rPr>
          <w:rFonts w:hint="eastAsia" w:ascii="宋体" w:hAnsi="宋体" w:eastAsia="宋体" w:cs="宋体"/>
          <w:color w:val="000000"/>
          <w:spacing w:val="7"/>
          <w:sz w:val="24"/>
          <w:szCs w:val="24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  <w:t>(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一次性成本</w:t>
      </w:r>
      <w:r>
        <w:rPr>
          <w:rFonts w:hint="eastAsia" w:ascii="宋体" w:hAnsi="宋体" w:eastAsia="宋体" w:cs="宋体"/>
          <w:color w:val="000000"/>
          <w:spacing w:val="7"/>
          <w:sz w:val="24"/>
          <w:szCs w:val="24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  <w:t>)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+</w:t>
      </w:r>
      <w:r>
        <w:rPr>
          <w:rFonts w:ascii="宋体" w:hAnsi="宋体" w:eastAsia="宋体" w:cs="宋体"/>
          <w:color w:val="000000"/>
          <w:spacing w:val="-32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实时采样</w:t>
      </w:r>
      <w:r>
        <w:rPr>
          <w:rFonts w:hint="eastAsia" w:ascii="宋体" w:hAnsi="宋体" w:eastAsia="宋体" w:cs="宋体"/>
          <w:color w:val="000000"/>
          <w:spacing w:val="7"/>
          <w:sz w:val="24"/>
          <w:szCs w:val="24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  <w:t>(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毫</w:t>
      </w:r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秒级</w:t>
      </w:r>
      <w:r>
        <w:rPr>
          <w:rFonts w:hint="eastAsia" w:ascii="宋体" w:hAnsi="宋体" w:eastAsia="宋体" w:cs="宋体"/>
          <w:color w:val="000000"/>
          <w:spacing w:val="6"/>
          <w:sz w:val="24"/>
          <w:szCs w:val="24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  <w:t>)</w:t>
      </w:r>
      <w:r>
        <w:rPr>
          <w:rFonts w:ascii="宋体" w:hAnsi="宋体" w:eastAsia="宋体" w:cs="宋体"/>
          <w:color w:val="000000"/>
          <w:spacing w:val="-30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模式，完美适配5G/6G</w:t>
      </w:r>
      <w:r>
        <w:rPr>
          <w:rFonts w:ascii="宋体" w:hAnsi="宋体" w:eastAsia="宋体" w:cs="宋体"/>
          <w:color w:val="000000"/>
          <w:spacing w:val="-34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 xml:space="preserve"> </w:t>
      </w:r>
      <w:r>
        <w:rPr>
          <w:rFonts w:ascii="宋体" w:hAnsi="宋体" w:eastAsia="宋体" w:cs="宋体"/>
          <w:color w:val="000000"/>
          <w:spacing w:val="6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大规模时空编码超表</w:t>
      </w:r>
      <w:r>
        <w:rPr>
          <w:rFonts w:ascii="宋体" w:hAnsi="宋体" w:eastAsia="宋体" w:cs="宋体"/>
          <w:color w:val="000000"/>
          <w:spacing w:val="7"/>
          <w:sz w:val="24"/>
          <w:szCs w:val="24"/>
          <w14:textFill>
            <w14:solidFill>
              <w14:srgbClr w14:val="000000">
                <w14:alpha w14:val="392"/>
              </w14:srgbClr>
            </w14:solidFill>
          </w14:textFill>
        </w:rPr>
        <w:t>面的动态优化需求，是传统算法的颠覆性升级</w:t>
      </w:r>
      <w:r>
        <w:rPr>
          <w:rFonts w:hint="eastAsia" w:ascii="宋体" w:hAnsi="宋体" w:eastAsia="宋体" w:cs="宋体"/>
          <w:color w:val="000000"/>
          <w:spacing w:val="7"/>
          <w:sz w:val="24"/>
          <w:szCs w:val="24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  <w:t>。</w:t>
      </w:r>
    </w:p>
    <w:p w14:paraId="291F4A05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757276AD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171B4338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6DF551E8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23121C5D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34E7C4B9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2C0A55A8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0B680D9B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39D47256">
      <w:pPr>
        <w:spacing w:line="219" w:lineRule="auto"/>
        <w:ind w:left="133" w:right="552" w:firstLine="433"/>
        <w:rPr>
          <w:rFonts w:hint="eastAsia" w:ascii="宋体" w:hAnsi="宋体" w:eastAsia="宋体" w:cs="宋体"/>
          <w:color w:val="000000"/>
          <w:spacing w:val="7"/>
          <w:sz w:val="21"/>
          <w:szCs w:val="21"/>
          <w:lang w:eastAsia="zh-CN"/>
          <w14:textFill>
            <w14:solidFill>
              <w14:srgbClr w14:val="000000">
                <w14:alpha w14:val="392"/>
              </w14:srgbClr>
            </w14:solidFill>
          </w14:textFill>
        </w:rPr>
      </w:pPr>
    </w:p>
    <w:p w14:paraId="776D109A">
      <w:pPr>
        <w:bidi w:val="0"/>
        <w:jc w:val="right"/>
      </w:pPr>
      <w:r>
        <w:rPr>
          <w:rFonts w:hint="eastAsia" w:eastAsia="宋体"/>
          <w:lang w:val="en-US" w:eastAsia="zh-CN"/>
        </w:rPr>
        <w:t>作者：张芝涛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联系方式：</w:t>
      </w: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 HYPERLINK "mailto:2259399085@qq.com"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Style w:val="11"/>
          <w:rFonts w:hint="eastAsia" w:eastAsia="宋体"/>
          <w:lang w:val="en-US" w:eastAsia="zh-CN"/>
        </w:rPr>
        <w:t>2259399085@qq.com</w:t>
      </w:r>
      <w:r>
        <w:rPr>
          <w:rStyle w:val="11"/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fldChar w:fldCharType="end"/>
      </w:r>
      <w:r>
        <w:rPr>
          <w:rFonts w:hint="eastAsia" w:eastAsia="宋体"/>
          <w:lang w:val="en-US" w:eastAsia="zh-CN"/>
        </w:rPr>
        <w:t>18208610235</w:t>
      </w:r>
      <w:r>
        <w:br w:type="textWrapping"/>
      </w:r>
    </w:p>
    <w:sectPr>
      <w:headerReference r:id="rId5" w:type="default"/>
      <w:pgSz w:w="12189" w:h="15818"/>
      <w:pgMar w:top="308" w:right="324" w:bottom="0" w:left="1131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6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929319"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12543AB7"/>
    <w:rsid w:val="27006243"/>
    <w:rsid w:val="289761A6"/>
    <w:rsid w:val="298044BA"/>
    <w:rsid w:val="2BC07BC4"/>
    <w:rsid w:val="32F10A57"/>
    <w:rsid w:val="36445FCA"/>
    <w:rsid w:val="3D5365C7"/>
    <w:rsid w:val="3F163D1F"/>
    <w:rsid w:val="4964508F"/>
    <w:rsid w:val="5023625D"/>
    <w:rsid w:val="54AD33F4"/>
    <w:rsid w:val="5F7A57AC"/>
    <w:rsid w:val="67C9736D"/>
    <w:rsid w:val="77D408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table" w:customStyle="1" w:styleId="12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Table Text"/>
    <w:basedOn w:val="1"/>
    <w:semiHidden/>
    <w:qFormat/>
    <w:uiPriority w:val="0"/>
    <w:rPr>
      <w:rFonts w:ascii="Times New Roman" w:hAnsi="Times New Roman" w:eastAsia="Times New Roman" w:cs="Times New Roman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3734</Words>
  <Characters>5039</Characters>
  <TotalTime>21</TotalTime>
  <ScaleCrop>false</ScaleCrop>
  <LinksUpToDate>false</LinksUpToDate>
  <CharactersWithSpaces>6101</CharactersWithSpaces>
  <Application>WPS Office_12.1.0.21915_F1E327BC-269C-435d-A152-05C5408002CA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2025-08-14T01:24:00Z</dcterms:created>
  <dc:creator>张芝涛</dc:creator>
  <cp:lastModifiedBy>还会发光</cp:lastModifiedBy>
  <dcterms:modified xsi:type="dcterms:W3CDTF">2025-09-03T16:15:06Z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wqlLaW5nc29mdCBQREYgdG8gV1BTIDExNQ</vt:lpwstr>
  </property>
  <property fmtid="{D5CDD505-2E9C-101B-9397-08002B2CF9AE}" pid="3" name="Created">
    <vt:filetime>2025-08-14T01:53:23Z</vt:filetime>
  </property>
  <property fmtid="{D5CDD505-2E9C-101B-9397-08002B2CF9AE}" pid="4" name="KSOTemplateDocerSaveRecord">
    <vt:lpwstr>eyJoZGlkIjoiMDljYzUzMWQ4OWI0YzBkYjYzMDRhZTY5ZjZkYmFmYTgiLCJ1c2VySWQiOiI2MDg1MDEwODMifQ==</vt:lpwstr>
  </property>
  <property fmtid="{D5CDD505-2E9C-101B-9397-08002B2CF9AE}" pid="5" name="KSOProductBuildVer">
    <vt:lpwstr>2052-12.1.0.21915</vt:lpwstr>
  </property>
  <property fmtid="{D5CDD505-2E9C-101B-9397-08002B2CF9AE}" pid="6" name="ICV">
    <vt:lpwstr>AEDC61EC64B54BA188E1896A02F34010_13</vt:lpwstr>
  </property>
</Properties>
</file>