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sammendrag"/>
    <w:p>
      <w:pPr>
        <w:pStyle w:val="Heading1"/>
      </w:pPr>
      <w:r>
        <w:t xml:space="preserve">ABSTRACT / SAMMENDRAG</w:t>
      </w:r>
    </w:p>
    <w:p>
      <w:pPr>
        <w:pStyle w:val="FirstParagraph"/>
      </w:pPr>
      <w:r>
        <w:t xml:space="preserve">A method and system for certified heterogeneous entropy composition combining multiple independent entropy sources. The system introduces Algebraic Randomness Extraction (ARE), a new family of randomness extractors based on algebraic programs over five or more number domains with six arithmetic operations, generated deterministically from a seed via SHAKE-256. The core embodiment uses five classical domains (Natural, Integer, Rational, Real, Complex); extended embodiments add quaternions for non-commutative mixing, octonions for non-associative mixing, finite fields GF(p^n) for provable uniform distribution, and p-adic numbers for orthogonal-metric mixing. Multiple entropy sources (quantum, classical physical, operating system) are XOR-fused with per-source NIST SP 800-90B health monitoring. Each composition produces a Merkle-tree provenance certificate with canonically serialized source records as leaves, providing cryptographic proof of entropy lineage. The system implements graceful degradation: failed sources are automatically excluded, degraded sources trigger warnings, and the reported min-entropy bound reflects only contributing sources. The ARE method can also serve as an entropy source conditioner, replacing Von Neumann debiasing to process full quantized measurements with reduced extraction loss. This framework satisfies DORA Article 7 cryptographic key lifecycle management requirements for auditable entropy provenance.</w:t>
      </w:r>
    </w:p>
    <w:p>
      <w:pPr>
        <w:pStyle w:val="BodyText"/>
      </w:pPr>
      <w:r>
        <w:t xml:space="preserve">(Figure 1: CHE Composition Pipeline)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2026-04-05T11:47:55Z</dcterms:created>
  <dcterms:modified xsi:type="dcterms:W3CDTF">2026-04-05T11:47:55Z</dcterms:modified>
</cp:coreProperties>
</file>

<file path=docProps/custom.xml><?xml version="1.0" encoding="utf-8"?>
<Properties xmlns="http://schemas.openxmlformats.org/officeDocument/2006/custom-properties" xmlns:vt="http://schemas.openxmlformats.org/officeDocument/2006/docPropsVTypes"/>
</file>