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68" w:rsidRPr="00C0101A" w:rsidRDefault="000D0768" w:rsidP="000D0768">
      <w:pPr>
        <w:spacing w:line="240" w:lineRule="atLeast"/>
        <w:jc w:val="center"/>
        <w:rPr>
          <w:rFonts w:ascii="Times New Roman" w:eastAsia="宋体" w:hAnsi="Times New Roman" w:cs="Times New Roman"/>
          <w:color w:val="000000" w:themeColor="text1"/>
          <w:sz w:val="18"/>
          <w:szCs w:val="24"/>
        </w:rPr>
      </w:pPr>
      <w:r w:rsidRPr="00C0101A">
        <w:rPr>
          <w:rFonts w:ascii="黑体" w:eastAsia="黑体" w:hAnsi="黑体" w:cs="Times New Roman" w:hint="eastAsia"/>
          <w:color w:val="000000" w:themeColor="text1"/>
          <w:sz w:val="18"/>
          <w:szCs w:val="24"/>
        </w:rPr>
        <w:t>表</w:t>
      </w:r>
      <w:r w:rsidRPr="00C0101A">
        <w:rPr>
          <w:rFonts w:ascii="Times New Roman" w:eastAsia="宋体" w:hAnsi="Times New Roman" w:cs="Times New Roman" w:hint="eastAsia"/>
          <w:color w:val="000000" w:themeColor="text1"/>
          <w:sz w:val="18"/>
          <w:szCs w:val="24"/>
        </w:rPr>
        <w:t>2</w:t>
      </w:r>
      <w:r w:rsidRPr="00C0101A">
        <w:rPr>
          <w:rFonts w:ascii="Times New Roman" w:eastAsia="宋体" w:hAnsi="Times New Roman" w:cs="Times New Roman"/>
          <w:color w:val="000000" w:themeColor="text1"/>
          <w:sz w:val="18"/>
          <w:szCs w:val="24"/>
        </w:rPr>
        <w:t xml:space="preserve"> </w:t>
      </w:r>
      <w:r w:rsidRPr="00C0101A">
        <w:rPr>
          <w:rFonts w:ascii="黑体" w:eastAsia="黑体" w:hAnsi="黑体" w:cs="Times New Roman" w:hint="eastAsia"/>
          <w:color w:val="000000" w:themeColor="text1"/>
          <w:sz w:val="18"/>
          <w:szCs w:val="24"/>
        </w:rPr>
        <w:t>基准模型估计结果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1110"/>
        <w:gridCol w:w="1131"/>
        <w:gridCol w:w="1111"/>
        <w:gridCol w:w="1131"/>
        <w:gridCol w:w="1111"/>
        <w:gridCol w:w="1131"/>
      </w:tblGrid>
      <w:tr w:rsidR="000D0768" w:rsidRPr="000B4E33" w:rsidTr="00525170">
        <w:trPr>
          <w:trHeight w:val="198"/>
          <w:jc w:val="center"/>
        </w:trPr>
        <w:tc>
          <w:tcPr>
            <w:tcW w:w="1702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29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供给绩效</w:t>
            </w:r>
          </w:p>
        </w:tc>
        <w:tc>
          <w:tcPr>
            <w:tcW w:w="229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占用绩效</w:t>
            </w:r>
          </w:p>
        </w:tc>
        <w:tc>
          <w:tcPr>
            <w:tcW w:w="229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总体绩效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（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（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（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（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4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5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treat</w:t>
            </w: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×</w:t>
            </w:r>
            <w:r w:rsidRPr="000B4E33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post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1.5225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0.1699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1.3923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0.1960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0.7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118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0.1294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0.6229</w:t>
            </w:r>
            <w:r w:rsidRPr="00935C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0.1398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1.0218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0.0862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0.9191</w:t>
            </w:r>
            <w:r w:rsidRPr="003405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0.0955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landarea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0.0239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0.0168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-0.0083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0.0114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0.0053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0.0079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landform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0.6806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0.2141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-0.0245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0.1936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0.2685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0.1039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villagenum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-0.0078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0.0117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0.0111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0.0087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0.0029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0.0054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B86A49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pilot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0.7266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0.5753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0.6626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0.4244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0.6650</w:t>
            </w:r>
            <w:r w:rsidRPr="003405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0.1246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popu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-0.0433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0.1113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0.0226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0.0800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-0.0055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0.0467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disa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0.0584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0.0860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-0.0100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0.0576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0.0187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0.0378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eco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0.0344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0.0427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-0.0034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0.0276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0.0124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0.0175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irritime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0.0700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0.0426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-0.0481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0.0311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0.0026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0.0186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worker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-0.0027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0.0036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0.0016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0.0008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0.0010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harmony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0.0381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0.0342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0.0633</w:t>
            </w:r>
            <w:r w:rsidRPr="00935C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0.0234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0.0505</w:t>
            </w:r>
            <w:r w:rsidRPr="003405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0.0153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asso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-0.0998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0.1991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0.1230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0.1541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0.0262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0.0894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firsecre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0.4393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0.1023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-0.1675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0.0778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0.0900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0.0431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facitype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i/>
                <w:color w:val="000000" w:themeColor="text1"/>
                <w:kern w:val="0"/>
                <w:sz w:val="18"/>
                <w:szCs w:val="18"/>
              </w:rPr>
              <w:t>facitype</w:t>
            </w: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Ⅱ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-0.0972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0.1455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0.1034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0.1049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0.0165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0.0663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ind w:leftChars="100" w:left="210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i/>
                <w:color w:val="000000" w:themeColor="text1"/>
                <w:kern w:val="0"/>
                <w:sz w:val="18"/>
                <w:szCs w:val="18"/>
              </w:rPr>
              <w:t>facitype</w:t>
            </w: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Ⅲ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-0.1156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0.1445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0.0073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0.1063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-0.0439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0.0662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institution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-0.2459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0.0720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0.1655</w:t>
            </w:r>
            <w:r w:rsidRPr="003405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***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0.0571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-0.0110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0.0316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investment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-0.2003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0.1553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0.1966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0.0894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0.0249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0.0714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</w:rPr>
              <w:t>labor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-0.0066</w:t>
            </w:r>
          </w:p>
          <w:p w:rsidR="000D0768" w:rsidRPr="00527E73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（</w:t>
            </w:r>
            <w:r w:rsidRPr="00527E73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0.0330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0.0558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  <w:p w:rsidR="000D0768" w:rsidRPr="006F576B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6F576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0.0216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—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18"/>
                <w:szCs w:val="18"/>
              </w:rPr>
            </w:pP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  <w:p w:rsidR="000D0768" w:rsidRPr="003405E7" w:rsidRDefault="000D0768" w:rsidP="005251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4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0.0137</w:t>
            </w:r>
            <w:r w:rsidRPr="00935CBD">
              <w:rPr>
                <w:rFonts w:ascii="宋体" w:eastAsia="宋体" w:hAnsi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v</w:t>
            </w: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  <w:vertAlign w:val="subscript"/>
              </w:rPr>
              <w:t>i</w:t>
            </w: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、</w:t>
            </w: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</w:rPr>
              <w:t>v</w:t>
            </w:r>
            <w:r w:rsidRPr="000B4E33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 w:val="18"/>
                <w:szCs w:val="18"/>
                <w:vertAlign w:val="subscript"/>
              </w:rPr>
              <w:t>t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样本数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633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633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633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633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633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633</w:t>
            </w:r>
          </w:p>
        </w:tc>
      </w:tr>
      <w:tr w:rsidR="000D0768" w:rsidRPr="000B4E33" w:rsidTr="00525170">
        <w:trPr>
          <w:trHeight w:val="198"/>
          <w:jc w:val="center"/>
        </w:trPr>
        <w:tc>
          <w:tcPr>
            <w:tcW w:w="17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adj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-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R</w:t>
            </w:r>
            <w:r w:rsidRPr="000B4E33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32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0.38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65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0.6</w:t>
            </w: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0.73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D0768" w:rsidRPr="000B4E33" w:rsidRDefault="000D0768" w:rsidP="00525170">
            <w:pPr>
              <w:overflowPunct w:val="0"/>
              <w:topLinePunct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 w:rsidRPr="000B4E3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0.7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</w:tr>
    </w:tbl>
    <w:p w:rsidR="000D0768" w:rsidRPr="009F0191" w:rsidRDefault="000D0768" w:rsidP="000D0768">
      <w:pPr>
        <w:spacing w:line="240" w:lineRule="atLeast"/>
        <w:ind w:firstLineChars="200" w:firstLine="36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B4E33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注：模型估计采用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LSDV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法控制</w:t>
      </w:r>
      <w:r w:rsidRPr="000B4E33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设施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固定效应</w:t>
      </w:r>
      <w:r w:rsidRPr="000E0D0C">
        <w:rPr>
          <w:rFonts w:ascii="Times New Roman" w:eastAsia="宋体" w:hAnsi="Times New Roman" w:cs="Times New Roman" w:hint="eastAsia"/>
          <w:i/>
          <w:color w:val="000000" w:themeColor="text1"/>
          <w:sz w:val="18"/>
        </w:rPr>
        <w:sym w:font="Symbol" w:char="F06E"/>
      </w:r>
      <w:r w:rsidRPr="000E0D0C">
        <w:rPr>
          <w:rFonts w:ascii="Times New Roman" w:eastAsia="宋体" w:hAnsi="Times New Roman" w:cs="Times New Roman"/>
          <w:i/>
          <w:color w:val="000000" w:themeColor="text1"/>
          <w:kern w:val="0"/>
          <w:sz w:val="18"/>
          <w:szCs w:val="24"/>
          <w:vertAlign w:val="subscript"/>
        </w:rPr>
        <w:t>i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和年份固定效应</w:t>
      </w:r>
      <w:r w:rsidRPr="000E0D0C">
        <w:rPr>
          <w:rFonts w:ascii="Times New Roman" w:eastAsia="宋体" w:hAnsi="Times New Roman" w:cs="Times New Roman" w:hint="eastAsia"/>
          <w:i/>
          <w:color w:val="000000" w:themeColor="text1"/>
          <w:sz w:val="18"/>
        </w:rPr>
        <w:sym w:font="Symbol" w:char="F06E"/>
      </w:r>
      <w:r w:rsidRPr="000E0D0C">
        <w:rPr>
          <w:rFonts w:ascii="Times New Roman" w:eastAsia="宋体" w:hAnsi="Times New Roman" w:cs="Times New Roman"/>
          <w:i/>
          <w:color w:val="000000" w:themeColor="text1"/>
          <w:kern w:val="0"/>
          <w:sz w:val="18"/>
          <w:szCs w:val="24"/>
          <w:vertAlign w:val="subscript"/>
        </w:rPr>
        <w:t>t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；括号内为稳健标准误，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*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、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**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和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***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lastRenderedPageBreak/>
        <w:t>分别代表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10%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、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5%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、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1%</w:t>
      </w:r>
      <w:r w:rsidRPr="000B4E3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的显著性水平。</w:t>
      </w:r>
    </w:p>
    <w:p w:rsidR="0017639E" w:rsidRPr="000D0768" w:rsidRDefault="0017639E">
      <w:bookmarkStart w:id="0" w:name="_GoBack"/>
      <w:bookmarkEnd w:id="0"/>
    </w:p>
    <w:sectPr w:rsidR="0017639E" w:rsidRPr="000D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7DD" w:rsidRDefault="000F17DD" w:rsidP="000D0768">
      <w:r>
        <w:separator/>
      </w:r>
    </w:p>
  </w:endnote>
  <w:endnote w:type="continuationSeparator" w:id="0">
    <w:p w:rsidR="000F17DD" w:rsidRDefault="000F17DD" w:rsidP="000D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7DD" w:rsidRDefault="000F17DD" w:rsidP="000D0768">
      <w:r>
        <w:separator/>
      </w:r>
    </w:p>
  </w:footnote>
  <w:footnote w:type="continuationSeparator" w:id="0">
    <w:p w:rsidR="000F17DD" w:rsidRDefault="000F17DD" w:rsidP="000D0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E4"/>
    <w:rsid w:val="000D0768"/>
    <w:rsid w:val="000F17DD"/>
    <w:rsid w:val="000F21E5"/>
    <w:rsid w:val="0017639E"/>
    <w:rsid w:val="001A7DE4"/>
    <w:rsid w:val="00966D34"/>
    <w:rsid w:val="00D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5ACEC-AF47-42BF-8A91-81B5D12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2021-01-02T04:39:00Z</dcterms:created>
  <dcterms:modified xsi:type="dcterms:W3CDTF">2021-01-02T04:39:00Z</dcterms:modified>
</cp:coreProperties>
</file>