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CC5" w:rsidRDefault="00A77CC5" w:rsidP="009D1417">
      <w:pPr>
        <w:jc w:val="center"/>
        <w:rPr>
          <w:rFonts w:ascii="黑体" w:eastAsia="黑体" w:hAnsi="黑体"/>
          <w:sz w:val="18"/>
          <w:szCs w:val="24"/>
        </w:rPr>
      </w:pPr>
    </w:p>
    <w:p w:rsidR="00A77CC5" w:rsidRDefault="00A77CC5" w:rsidP="009D1417">
      <w:pPr>
        <w:jc w:val="center"/>
        <w:rPr>
          <w:rFonts w:ascii="黑体" w:eastAsia="黑体" w:hAnsi="黑体"/>
          <w:sz w:val="18"/>
          <w:szCs w:val="24"/>
        </w:rPr>
      </w:pPr>
    </w:p>
    <w:p w:rsidR="0017639E" w:rsidRDefault="009D1417" w:rsidP="009D1417">
      <w:pPr>
        <w:jc w:val="center"/>
      </w:pPr>
      <w:bookmarkStart w:id="0" w:name="_GoBack"/>
      <w:bookmarkEnd w:id="0"/>
      <w:r>
        <w:rPr>
          <w:rFonts w:ascii="黑体" w:eastAsia="黑体" w:hAnsi="黑体" w:hint="eastAsia"/>
          <w:sz w:val="18"/>
          <w:szCs w:val="24"/>
        </w:rPr>
        <w:t>表3</w:t>
      </w:r>
      <w:r>
        <w:rPr>
          <w:rFonts w:ascii="黑体" w:eastAsia="黑体" w:hAnsi="黑体"/>
          <w:sz w:val="18"/>
          <w:szCs w:val="24"/>
        </w:rPr>
        <w:t xml:space="preserve"> </w:t>
      </w:r>
      <w:r w:rsidRPr="008D1EE8">
        <w:rPr>
          <w:rFonts w:ascii="黑体" w:eastAsia="黑体" w:hAnsi="黑体" w:hint="eastAsia"/>
          <w:sz w:val="18"/>
          <w:szCs w:val="24"/>
        </w:rPr>
        <w:t>变量说明与描述性统计</w:t>
      </w:r>
    </w:p>
    <w:tbl>
      <w:tblPr>
        <w:tblW w:w="8505"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3544"/>
        <w:gridCol w:w="850"/>
        <w:gridCol w:w="851"/>
        <w:gridCol w:w="850"/>
        <w:gridCol w:w="851"/>
      </w:tblGrid>
      <w:tr w:rsidR="001A5005" w:rsidRPr="009D1417" w:rsidTr="001A5005">
        <w:trPr>
          <w:trHeight w:val="317"/>
          <w:jc w:val="center"/>
        </w:trPr>
        <w:tc>
          <w:tcPr>
            <w:tcW w:w="1559" w:type="dxa"/>
            <w:tcBorders>
              <w:top w:val="single" w:sz="12" w:space="0" w:color="auto"/>
              <w:left w:val="nil"/>
              <w:bottom w:val="single" w:sz="4" w:space="0" w:color="auto"/>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变量</w:t>
            </w:r>
          </w:p>
        </w:tc>
        <w:tc>
          <w:tcPr>
            <w:tcW w:w="3544" w:type="dxa"/>
            <w:tcBorders>
              <w:top w:val="single" w:sz="12" w:space="0" w:color="auto"/>
              <w:left w:val="single" w:sz="4" w:space="0" w:color="auto"/>
              <w:bottom w:val="single" w:sz="4" w:space="0" w:color="auto"/>
              <w:right w:val="single" w:sz="4" w:space="0" w:color="auto"/>
            </w:tcBorders>
            <w:vAlign w:val="center"/>
          </w:tcPr>
          <w:p w:rsidR="001A5005" w:rsidRPr="009D1417" w:rsidRDefault="001A5005" w:rsidP="00904866">
            <w:pPr>
              <w:overflowPunct w:val="0"/>
              <w:topLinePunct/>
              <w:spacing w:line="300" w:lineRule="exact"/>
              <w:jc w:val="center"/>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变量说明</w:t>
            </w:r>
          </w:p>
        </w:tc>
        <w:tc>
          <w:tcPr>
            <w:tcW w:w="1701" w:type="dxa"/>
            <w:gridSpan w:val="2"/>
            <w:tcBorders>
              <w:top w:val="single" w:sz="12" w:space="0" w:color="auto"/>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对照组</w:t>
            </w:r>
          </w:p>
        </w:tc>
        <w:tc>
          <w:tcPr>
            <w:tcW w:w="1701" w:type="dxa"/>
            <w:gridSpan w:val="2"/>
            <w:tcBorders>
              <w:top w:val="single" w:sz="12" w:space="0" w:color="auto"/>
              <w:left w:val="single" w:sz="4" w:space="0" w:color="auto"/>
              <w:bottom w:val="single" w:sz="4" w:space="0" w:color="auto"/>
              <w:right w:val="nil"/>
            </w:tcBorders>
            <w:vAlign w:val="center"/>
          </w:tcPr>
          <w:p w:rsidR="001A5005" w:rsidRPr="00CF58A2" w:rsidRDefault="001A5005" w:rsidP="001A5005">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处理组</w:t>
            </w:r>
          </w:p>
        </w:tc>
      </w:tr>
      <w:tr w:rsidR="001A5005" w:rsidRPr="009D1417" w:rsidTr="001A5005">
        <w:trPr>
          <w:trHeight w:val="317"/>
          <w:jc w:val="center"/>
        </w:trPr>
        <w:tc>
          <w:tcPr>
            <w:tcW w:w="1559" w:type="dxa"/>
            <w:tcBorders>
              <w:top w:val="single" w:sz="4" w:space="0" w:color="auto"/>
              <w:left w:val="nil"/>
              <w:bottom w:val="single" w:sz="4" w:space="0" w:color="auto"/>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p>
        </w:tc>
        <w:tc>
          <w:tcPr>
            <w:tcW w:w="3544" w:type="dxa"/>
            <w:tcBorders>
              <w:top w:val="single" w:sz="4" w:space="0" w:color="auto"/>
              <w:left w:val="single" w:sz="4" w:space="0" w:color="auto"/>
              <w:bottom w:val="single" w:sz="4" w:space="0" w:color="auto"/>
              <w:right w:val="single" w:sz="4" w:space="0" w:color="auto"/>
            </w:tcBorders>
            <w:vAlign w:val="center"/>
          </w:tcPr>
          <w:p w:rsidR="001A5005" w:rsidRPr="009D1417" w:rsidRDefault="001A5005" w:rsidP="00904866">
            <w:pPr>
              <w:overflowPunct w:val="0"/>
              <w:topLinePunct/>
              <w:spacing w:line="300" w:lineRule="exact"/>
              <w:jc w:val="center"/>
              <w:rPr>
                <w:rFonts w:ascii="Times New Roman" w:eastAsia="宋体" w:hAnsi="Times New Roman" w:cs="Times New Roman"/>
                <w:color w:val="000000"/>
                <w:kern w:val="0"/>
                <w:sz w:val="18"/>
                <w:szCs w:val="18"/>
              </w:rPr>
            </w:pPr>
          </w:p>
        </w:tc>
        <w:tc>
          <w:tcPr>
            <w:tcW w:w="850" w:type="dxa"/>
            <w:tcBorders>
              <w:top w:val="single" w:sz="4" w:space="0" w:color="auto"/>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均值</w:t>
            </w:r>
          </w:p>
        </w:tc>
        <w:tc>
          <w:tcPr>
            <w:tcW w:w="851" w:type="dxa"/>
            <w:tcBorders>
              <w:top w:val="single" w:sz="4" w:space="0" w:color="auto"/>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标准差</w:t>
            </w:r>
          </w:p>
        </w:tc>
        <w:tc>
          <w:tcPr>
            <w:tcW w:w="850" w:type="dxa"/>
            <w:tcBorders>
              <w:top w:val="single" w:sz="4" w:space="0" w:color="auto"/>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均值</w:t>
            </w:r>
          </w:p>
        </w:tc>
        <w:tc>
          <w:tcPr>
            <w:tcW w:w="851" w:type="dxa"/>
            <w:tcBorders>
              <w:top w:val="single" w:sz="4" w:space="0" w:color="auto"/>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标准差</w:t>
            </w:r>
          </w:p>
        </w:tc>
      </w:tr>
      <w:tr w:rsidR="001A5005" w:rsidRPr="009D1417" w:rsidTr="001A5005">
        <w:trPr>
          <w:trHeight w:val="317"/>
          <w:jc w:val="center"/>
        </w:trPr>
        <w:tc>
          <w:tcPr>
            <w:tcW w:w="1559" w:type="dxa"/>
            <w:tcBorders>
              <w:top w:val="single" w:sz="4" w:space="0" w:color="auto"/>
              <w:left w:val="nil"/>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iCs/>
                <w:color w:val="000000"/>
                <w:kern w:val="0"/>
                <w:sz w:val="18"/>
                <w:szCs w:val="18"/>
              </w:rPr>
            </w:pPr>
            <w:r w:rsidRPr="009D1417">
              <w:rPr>
                <w:rFonts w:ascii="Times New Roman" w:eastAsia="宋体" w:hAnsi="Times New Roman" w:cs="Times New Roman" w:hint="eastAsia"/>
                <w:iCs/>
                <w:color w:val="000000"/>
                <w:kern w:val="0"/>
                <w:sz w:val="18"/>
                <w:szCs w:val="18"/>
              </w:rPr>
              <w:t>因变量</w:t>
            </w:r>
          </w:p>
        </w:tc>
        <w:tc>
          <w:tcPr>
            <w:tcW w:w="3544" w:type="dxa"/>
            <w:tcBorders>
              <w:top w:val="single" w:sz="4" w:space="0" w:color="auto"/>
              <w:left w:val="single" w:sz="4" w:space="0" w:color="auto"/>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color w:val="000000"/>
                <w:kern w:val="0"/>
                <w:sz w:val="18"/>
                <w:szCs w:val="18"/>
              </w:rPr>
            </w:pPr>
          </w:p>
        </w:tc>
        <w:tc>
          <w:tcPr>
            <w:tcW w:w="850" w:type="dxa"/>
            <w:tcBorders>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0" w:type="dxa"/>
            <w:tcBorders>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7E5F46">
            <w:pPr>
              <w:overflowPunct w:val="0"/>
              <w:topLinePunct/>
              <w:spacing w:line="300" w:lineRule="exact"/>
              <w:ind w:leftChars="100" w:left="210"/>
              <w:rPr>
                <w:rFonts w:ascii="Times New Roman" w:eastAsia="宋体" w:hAnsi="Times New Roman" w:cs="Times New Roman"/>
                <w:iCs/>
                <w:color w:val="000000"/>
                <w:kern w:val="0"/>
                <w:sz w:val="18"/>
                <w:szCs w:val="18"/>
              </w:rPr>
            </w:pPr>
            <w:r w:rsidRPr="009D1417">
              <w:rPr>
                <w:rFonts w:ascii="Times New Roman" w:eastAsia="宋体" w:hAnsi="Times New Roman" w:cs="Times New Roman" w:hint="eastAsia"/>
                <w:iCs/>
                <w:color w:val="000000"/>
                <w:kern w:val="0"/>
                <w:sz w:val="18"/>
                <w:szCs w:val="18"/>
              </w:rPr>
              <w:t>占用绩效</w:t>
            </w:r>
          </w:p>
        </w:tc>
        <w:tc>
          <w:tcPr>
            <w:tcW w:w="3544" w:type="dxa"/>
            <w:tcBorders>
              <w:top w:val="nil"/>
              <w:left w:val="single" w:sz="4" w:space="0" w:color="auto"/>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color w:val="000000"/>
                <w:kern w:val="0"/>
                <w:sz w:val="18"/>
                <w:szCs w:val="18"/>
              </w:rPr>
            </w:pPr>
          </w:p>
        </w:tc>
        <w:tc>
          <w:tcPr>
            <w:tcW w:w="850" w:type="dxa"/>
            <w:tcBorders>
              <w:top w:val="nil"/>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top w:val="nil"/>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0" w:type="dxa"/>
            <w:tcBorders>
              <w:top w:val="nil"/>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top w:val="nil"/>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iCs/>
                <w:color w:val="000000"/>
                <w:kern w:val="0"/>
                <w:sz w:val="18"/>
                <w:szCs w:val="18"/>
              </w:rPr>
            </w:pPr>
            <w:r w:rsidRPr="009D1417">
              <w:rPr>
                <w:rFonts w:ascii="Times New Roman" w:eastAsia="宋体" w:hAnsi="Times New Roman" w:cs="Times New Roman"/>
                <w:color w:val="000000"/>
                <w:position w:val="-8"/>
              </w:rPr>
              <w:object w:dxaOrig="6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3.15pt" o:ole="">
                  <v:imagedata r:id="rId6" o:title=""/>
                </v:shape>
                <o:OLEObject Type="Embed" ProgID="Equation.DSMT4" ShapeID="_x0000_i1025" DrawAspect="Content" ObjectID="_1705597614" r:id="rId7"/>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在调查年份，集体经营性资产使用冲突及权益纠纷事件的发生次数（次）</w:t>
            </w:r>
          </w:p>
        </w:tc>
        <w:tc>
          <w:tcPr>
            <w:tcW w:w="850" w:type="dxa"/>
            <w:tcBorders>
              <w:top w:val="nil"/>
              <w:left w:val="single" w:sz="4" w:space="0" w:color="auto"/>
              <w:bottom w:val="nil"/>
              <w:right w:val="nil"/>
            </w:tcBorders>
            <w:vAlign w:val="center"/>
          </w:tcPr>
          <w:p w:rsidR="001A5005" w:rsidRPr="00CF58A2" w:rsidRDefault="001A5005" w:rsidP="001A5005">
            <w:pPr>
              <w:widowControl/>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1.0935</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0.6159</w:t>
            </w:r>
          </w:p>
        </w:tc>
        <w:tc>
          <w:tcPr>
            <w:tcW w:w="850" w:type="dxa"/>
            <w:tcBorders>
              <w:top w:val="nil"/>
              <w:left w:val="single" w:sz="4" w:space="0" w:color="auto"/>
              <w:bottom w:val="nil"/>
              <w:right w:val="nil"/>
            </w:tcBorders>
            <w:vAlign w:val="center"/>
          </w:tcPr>
          <w:p w:rsidR="001A5005" w:rsidRPr="00CF58A2" w:rsidRDefault="001A5005" w:rsidP="001A5005">
            <w:pPr>
              <w:widowControl/>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1.4596</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0.9631</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iCs/>
                <w:color w:val="000000"/>
                <w:kern w:val="0"/>
                <w:sz w:val="18"/>
                <w:szCs w:val="18"/>
              </w:rPr>
            </w:pPr>
            <w:r w:rsidRPr="009D1417">
              <w:rPr>
                <w:rFonts w:ascii="Times New Roman" w:eastAsia="宋体" w:hAnsi="Times New Roman" w:cs="Times New Roman"/>
                <w:color w:val="000000"/>
                <w:position w:val="-8"/>
              </w:rPr>
              <w:object w:dxaOrig="620" w:dyaOrig="260">
                <v:shape id="_x0000_i1026" type="#_x0000_t75" style="width:30.35pt;height:13.15pt" o:ole="">
                  <v:imagedata r:id="rId8" o:title=""/>
                </v:shape>
                <o:OLEObject Type="Embed" ProgID="Equation.DSMT4" ShapeID="_x0000_i1026" DrawAspect="Content" ObjectID="_1705597615" r:id="rId9"/>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在调查年份，集体经营性资产是否存在被集体以外人员非法侵占的情况：是</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否</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0.6625</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0.4731</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0.5152</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0.5004</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980" w:dyaOrig="260">
                <v:shape id="_x0000_i1027" type="#_x0000_t75" style="width:49.15pt;height:13.15pt" o:ole="">
                  <v:imagedata r:id="rId10" o:title=""/>
                </v:shape>
                <o:OLEObject Type="Embed" ProgID="Equation.DSMT4" ShapeID="_x0000_i1027" DrawAspect="Content" ObjectID="_1705597616" r:id="rId11"/>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在调查年份，参与集体经营性资产使用及分红的农户数量（千户）</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0.3715</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0.2595</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0.4249</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0.3022</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100" w:left="210"/>
              <w:rPr>
                <w:rFonts w:ascii="Times New Roman" w:eastAsia="宋体" w:hAnsi="Times New Roman" w:cs="Times New Roman"/>
                <w:i/>
                <w:color w:val="000000"/>
                <w:sz w:val="18"/>
                <w:szCs w:val="18"/>
              </w:rPr>
            </w:pPr>
            <w:r w:rsidRPr="009D1417">
              <w:rPr>
                <w:rFonts w:ascii="Times New Roman" w:eastAsia="宋体" w:hAnsi="Times New Roman" w:cs="Times New Roman" w:hint="eastAsia"/>
                <w:iCs/>
                <w:color w:val="000000"/>
                <w:kern w:val="0"/>
                <w:sz w:val="18"/>
                <w:szCs w:val="18"/>
              </w:rPr>
              <w:t>供给绩效</w: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Times New Roman" w:hAnsi="Times New Roman" w:cs="Times New Roman"/>
                <w:sz w:val="20"/>
                <w:szCs w:val="20"/>
                <w:highlight w:val="cyan"/>
              </w:rPr>
            </w:pP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Times New Roman" w:hAnsi="Times New Roman" w:cs="Times New Roman"/>
                <w:sz w:val="20"/>
                <w:szCs w:val="20"/>
                <w:highlight w:val="cyan"/>
              </w:rPr>
            </w:pP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6"/>
              </w:rPr>
              <w:object w:dxaOrig="680" w:dyaOrig="240">
                <v:shape id="_x0000_i1028" type="#_x0000_t75" style="width:32.85pt;height:11.6pt" o:ole="">
                  <v:imagedata r:id="rId12" o:title=""/>
                </v:shape>
                <o:OLEObject Type="Embed" ProgID="Equation.DSMT4" ShapeID="_x0000_i1028" DrawAspect="Content" ObjectID="_1705597617" r:id="rId13"/>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在调查年份，集体经营性资产原值减去累计折旧、应付款项与各类负债后的净估值（元），取对数</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12.9774</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0.5774</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13.1810</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0.4514</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960" w:dyaOrig="260">
                <v:shape id="_x0000_i1029" type="#_x0000_t75" style="width:47.9pt;height:13.15pt" o:ole="">
                  <v:imagedata r:id="rId14" o:title=""/>
                </v:shape>
                <o:OLEObject Type="Embed" ProgID="Equation.DSMT4" ShapeID="_x0000_i1029" DrawAspect="Content" ObjectID="_1705597618" r:id="rId15"/>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在调查年份，应收却超过一年无法收回的集体经营性资产营收（元），取对数</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10.7490</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0.3856</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10.7212</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0.3577</w:t>
            </w:r>
          </w:p>
        </w:tc>
      </w:tr>
      <w:tr w:rsidR="001A5005" w:rsidRPr="009D1417" w:rsidTr="001A5005">
        <w:trPr>
          <w:trHeight w:val="317"/>
          <w:jc w:val="center"/>
        </w:trPr>
        <w:tc>
          <w:tcPr>
            <w:tcW w:w="1559" w:type="dxa"/>
            <w:tcBorders>
              <w:top w:val="nil"/>
              <w:left w:val="nil"/>
              <w:bottom w:val="single" w:sz="4" w:space="0" w:color="auto"/>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700" w:dyaOrig="240">
                <v:shape id="_x0000_i1030" type="#_x0000_t75" style="width:35.05pt;height:11.6pt" o:ole="">
                  <v:imagedata r:id="rId16" o:title=""/>
                </v:shape>
                <o:OLEObject Type="Embed" ProgID="Equation.DSMT4" ShapeID="_x0000_i1030" DrawAspect="Content" ObjectID="_1705597619" r:id="rId17"/>
              </w:object>
            </w:r>
          </w:p>
        </w:tc>
        <w:tc>
          <w:tcPr>
            <w:tcW w:w="3544" w:type="dxa"/>
            <w:tcBorders>
              <w:top w:val="nil"/>
              <w:left w:val="single" w:sz="4" w:space="0" w:color="auto"/>
              <w:bottom w:val="single" w:sz="4" w:space="0" w:color="auto"/>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在调查年份，集体经营性资产累计折旧、经营支出与各类管理费用的总和（元），取对数</w:t>
            </w:r>
          </w:p>
        </w:tc>
        <w:tc>
          <w:tcPr>
            <w:tcW w:w="850"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10.0370</w:t>
            </w:r>
          </w:p>
        </w:tc>
        <w:tc>
          <w:tcPr>
            <w:tcW w:w="851"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0.1267</w:t>
            </w:r>
          </w:p>
        </w:tc>
        <w:tc>
          <w:tcPr>
            <w:tcW w:w="850"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9.9992</w:t>
            </w:r>
          </w:p>
        </w:tc>
        <w:tc>
          <w:tcPr>
            <w:tcW w:w="851"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0.6379</w:t>
            </w:r>
          </w:p>
        </w:tc>
      </w:tr>
      <w:tr w:rsidR="001A5005" w:rsidRPr="009D1417" w:rsidTr="001A5005">
        <w:trPr>
          <w:trHeight w:val="317"/>
          <w:jc w:val="center"/>
        </w:trPr>
        <w:tc>
          <w:tcPr>
            <w:tcW w:w="1559" w:type="dxa"/>
            <w:tcBorders>
              <w:top w:val="single" w:sz="4" w:space="0" w:color="auto"/>
              <w:left w:val="nil"/>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控制变量</w:t>
            </w:r>
          </w:p>
        </w:tc>
        <w:tc>
          <w:tcPr>
            <w:tcW w:w="3544" w:type="dxa"/>
            <w:tcBorders>
              <w:top w:val="single" w:sz="4" w:space="0" w:color="auto"/>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p>
        </w:tc>
        <w:tc>
          <w:tcPr>
            <w:tcW w:w="850" w:type="dxa"/>
            <w:tcBorders>
              <w:top w:val="single" w:sz="4" w:space="0" w:color="auto"/>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p>
        </w:tc>
        <w:tc>
          <w:tcPr>
            <w:tcW w:w="851" w:type="dxa"/>
            <w:tcBorders>
              <w:top w:val="single" w:sz="4" w:space="0" w:color="auto"/>
              <w:left w:val="single" w:sz="4" w:space="0" w:color="auto"/>
              <w:bottom w:val="nil"/>
              <w:right w:val="nil"/>
            </w:tcBorders>
            <w:vAlign w:val="center"/>
          </w:tcPr>
          <w:p w:rsidR="001A5005" w:rsidRPr="00CF58A2" w:rsidRDefault="001A5005" w:rsidP="001A5005">
            <w:pPr>
              <w:jc w:val="center"/>
              <w:rPr>
                <w:rFonts w:ascii="Times New Roman" w:eastAsia="Times New Roman" w:hAnsi="Times New Roman" w:cs="Times New Roman"/>
                <w:sz w:val="20"/>
                <w:szCs w:val="20"/>
                <w:highlight w:val="cyan"/>
              </w:rPr>
            </w:pPr>
          </w:p>
        </w:tc>
        <w:tc>
          <w:tcPr>
            <w:tcW w:w="850" w:type="dxa"/>
            <w:tcBorders>
              <w:top w:val="single" w:sz="4" w:space="0" w:color="auto"/>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p>
        </w:tc>
        <w:tc>
          <w:tcPr>
            <w:tcW w:w="851" w:type="dxa"/>
            <w:tcBorders>
              <w:top w:val="single" w:sz="4" w:space="0" w:color="auto"/>
              <w:left w:val="single" w:sz="4" w:space="0" w:color="auto"/>
              <w:bottom w:val="nil"/>
              <w:right w:val="nil"/>
            </w:tcBorders>
            <w:vAlign w:val="center"/>
          </w:tcPr>
          <w:p w:rsidR="001A5005" w:rsidRPr="00CF58A2" w:rsidRDefault="001A5005" w:rsidP="001A5005">
            <w:pPr>
              <w:jc w:val="center"/>
              <w:rPr>
                <w:rFonts w:ascii="Times New Roman" w:eastAsia="Times New Roman" w:hAnsi="Times New Roman" w:cs="Times New Roman"/>
                <w:sz w:val="20"/>
                <w:szCs w:val="20"/>
                <w:highlight w:val="cyan"/>
              </w:rPr>
            </w:pP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540" w:dyaOrig="260">
                <v:shape id="_x0000_i1031" type="#_x0000_t75" style="width:26.9pt;height:13.15pt" o:ole="">
                  <v:imagedata r:id="rId18" o:title=""/>
                </v:shape>
                <o:OLEObject Type="Embed" ProgID="Equation.DSMT4" ShapeID="_x0000_i1031" DrawAspect="Content" ObjectID="_1705597620" r:id="rId19"/>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集体经营性资产的用途：出租、集体使用或经营</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闲置或停产歇业</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0.7822</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0.4130</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0.9015</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0.2983</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6"/>
              </w:rPr>
              <w:object w:dxaOrig="420" w:dyaOrig="200">
                <v:shape id="_x0000_i1032" type="#_x0000_t75" style="width:21.9pt;height:10pt" o:ole="">
                  <v:imagedata r:id="rId20" o:title=""/>
                </v:shape>
                <o:OLEObject Type="Embed" ProgID="Equation.DSMT4" ShapeID="_x0000_i1032" DrawAspect="Content" ObjectID="_1705597621" r:id="rId21"/>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集体经营性资产所处村庄的面积（千亩）</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4.6633</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4.0994</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4.3104</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4.1485</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620" w:dyaOrig="260">
                <v:shape id="_x0000_i1033" type="#_x0000_t75" style="width:30.35pt;height:13.15pt" o:ole="">
                  <v:imagedata r:id="rId22" o:title=""/>
                </v:shape>
                <o:OLEObject Type="Embed" ProgID="Equation.DSMT4" ShapeID="_x0000_i1033" DrawAspect="Content" ObjectID="_1705597622" r:id="rId23"/>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集体经营性资产所处村庄的自然村个数（个）</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4.5599</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4.4247</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4.3838</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4.0720</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6"/>
              </w:rPr>
              <w:object w:dxaOrig="840" w:dyaOrig="240">
                <v:shape id="_x0000_i1034" type="#_x0000_t75" style="width:41.95pt;height:11.6pt" o:ole="">
                  <v:imagedata r:id="rId24" o:title=""/>
                </v:shape>
                <o:OLEObject Type="Embed" ProgID="Equation.DSMT4" ShapeID="_x0000_i1034" DrawAspect="Content" ObjectID="_1705597623" r:id="rId25"/>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集体经营性资产所处村庄的农户数（千户）</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0.8292</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0.4617</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0.8118</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0.4508</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6"/>
              </w:rPr>
              <w:object w:dxaOrig="760" w:dyaOrig="220">
                <v:shape id="_x0000_i1035" type="#_x0000_t75" style="width:37.9pt;height:10.65pt" o:ole="">
                  <v:imagedata r:id="rId26" o:title=""/>
                </v:shape>
                <o:OLEObject Type="Embed" ProgID="Equation.DSMT4" ShapeID="_x0000_i1035" DrawAspect="Content" ObjectID="_1705597624" r:id="rId27"/>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集体经营性资产所处村庄相较周边村庄的经济发展水平：差很多</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；相对较差</w:t>
            </w:r>
            <w:r w:rsidRPr="009D1417">
              <w:rPr>
                <w:rFonts w:ascii="Times New Roman" w:eastAsia="宋体" w:hAnsi="Times New Roman" w:cs="Times New Roman"/>
                <w:color w:val="000000"/>
                <w:kern w:val="0"/>
                <w:sz w:val="18"/>
                <w:szCs w:val="18"/>
              </w:rPr>
              <w:t>=2</w:t>
            </w:r>
            <w:r w:rsidRPr="009D1417">
              <w:rPr>
                <w:rFonts w:ascii="Times New Roman" w:eastAsia="宋体" w:hAnsi="Times New Roman" w:cs="Times New Roman"/>
                <w:color w:val="000000"/>
                <w:kern w:val="0"/>
                <w:sz w:val="18"/>
                <w:szCs w:val="18"/>
              </w:rPr>
              <w:t>；一般水平</w:t>
            </w:r>
            <w:r w:rsidRPr="009D1417">
              <w:rPr>
                <w:rFonts w:ascii="Times New Roman" w:eastAsia="宋体" w:hAnsi="Times New Roman" w:cs="Times New Roman"/>
                <w:color w:val="000000"/>
                <w:kern w:val="0"/>
                <w:sz w:val="18"/>
                <w:szCs w:val="18"/>
              </w:rPr>
              <w:t>=3</w:t>
            </w:r>
            <w:r w:rsidRPr="009D1417">
              <w:rPr>
                <w:rFonts w:ascii="Times New Roman" w:eastAsia="宋体" w:hAnsi="Times New Roman" w:cs="Times New Roman"/>
                <w:color w:val="000000"/>
                <w:kern w:val="0"/>
                <w:sz w:val="18"/>
                <w:szCs w:val="18"/>
              </w:rPr>
              <w:t>；相对较好</w:t>
            </w:r>
            <w:r w:rsidRPr="009D1417">
              <w:rPr>
                <w:rFonts w:ascii="Times New Roman" w:eastAsia="宋体" w:hAnsi="Times New Roman" w:cs="Times New Roman"/>
                <w:color w:val="000000"/>
                <w:kern w:val="0"/>
                <w:sz w:val="18"/>
                <w:szCs w:val="18"/>
              </w:rPr>
              <w:t>=4</w:t>
            </w:r>
            <w:r w:rsidRPr="009D1417">
              <w:rPr>
                <w:rFonts w:ascii="Times New Roman" w:eastAsia="宋体" w:hAnsi="Times New Roman" w:cs="Times New Roman"/>
                <w:color w:val="000000"/>
                <w:kern w:val="0"/>
                <w:sz w:val="18"/>
                <w:szCs w:val="18"/>
              </w:rPr>
              <w:t>；好很多</w:t>
            </w:r>
            <w:r w:rsidRPr="009D1417">
              <w:rPr>
                <w:rFonts w:ascii="Times New Roman" w:eastAsia="宋体" w:hAnsi="Times New Roman" w:cs="Times New Roman"/>
                <w:color w:val="000000"/>
                <w:kern w:val="0"/>
                <w:sz w:val="18"/>
                <w:szCs w:val="18"/>
              </w:rPr>
              <w:t>=5</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3.3786</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1.2452</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3.3384</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1.2952</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920" w:dyaOrig="240">
                <v:shape id="_x0000_i1036" type="#_x0000_t75" style="width:46.65pt;height:11.6pt" o:ole="">
                  <v:imagedata r:id="rId28" o:title=""/>
                </v:shape>
                <o:OLEObject Type="Embed" ProgID="Equation.DSMT4" ShapeID="_x0000_i1036" DrawAspect="Content" ObjectID="_1705597625" r:id="rId29"/>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集体经营性资产所处村庄是否有专业协会或合作社组织：是</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；否</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0.0445</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0.2063</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0.0682</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0.2524</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color w:val="000000"/>
                <w:sz w:val="18"/>
                <w:szCs w:val="18"/>
              </w:rPr>
            </w:pPr>
            <w:r w:rsidRPr="009D1417">
              <w:rPr>
                <w:rFonts w:ascii="Times New Roman" w:eastAsia="宋体" w:hAnsi="Times New Roman" w:cs="Times New Roman"/>
                <w:color w:val="000000"/>
                <w:position w:val="-8"/>
              </w:rPr>
              <w:object w:dxaOrig="660" w:dyaOrig="260">
                <v:shape id="_x0000_i1037" type="#_x0000_t75" style="width:32.85pt;height:13.15pt" o:ole="">
                  <v:imagedata r:id="rId30" o:title=""/>
                </v:shape>
                <o:OLEObject Type="Embed" ProgID="Equation.DSMT4" ShapeID="_x0000_i1037" DrawAspect="Content" ObjectID="_1705597626" r:id="rId31"/>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集体经营性资产所处村庄是否被驻派驻“第一书记”：是</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；否</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0.3991</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0.4900</w:t>
            </w:r>
          </w:p>
        </w:tc>
        <w:tc>
          <w:tcPr>
            <w:tcW w:w="850"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0.3889</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0.4881</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noProof/>
                <w:color w:val="000000"/>
              </w:rPr>
            </w:pPr>
            <w:r w:rsidRPr="009D1417">
              <w:rPr>
                <w:rFonts w:ascii="Times New Roman" w:eastAsia="宋体" w:hAnsi="Times New Roman" w:cs="Times New Roman"/>
                <w:color w:val="000000"/>
                <w:position w:val="-8"/>
              </w:rPr>
              <w:object w:dxaOrig="440" w:dyaOrig="260">
                <v:shape id="_x0000_i1038" type="#_x0000_t75" style="width:21.9pt;height:13.15pt" o:ole="">
                  <v:imagedata r:id="rId32" o:title=""/>
                </v:shape>
                <o:OLEObject Type="Embed" ProgID="Equation.DSMT4" ShapeID="_x0000_i1038" DrawAspect="Content" ObjectID="_1705597627" r:id="rId33"/>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在河南省成为整省试点前，集体经营性资产所处县是否为农业农村部确定的农村集体产权制度改革试点单位：是</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；否</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nil"/>
              <w:right w:val="nil"/>
            </w:tcBorders>
            <w:vAlign w:val="center"/>
          </w:tcPr>
          <w:p w:rsidR="001A5005" w:rsidRPr="00CF58A2" w:rsidRDefault="001A5005" w:rsidP="001A5005">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1A5005">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nil"/>
              <w:right w:val="nil"/>
            </w:tcBorders>
            <w:vAlign w:val="center"/>
          </w:tcPr>
          <w:p w:rsidR="001A5005" w:rsidRPr="00CF58A2" w:rsidRDefault="001A5005" w:rsidP="001A5005">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1A5005">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nil"/>
              <w:left w:val="nil"/>
              <w:bottom w:val="single" w:sz="4" w:space="0" w:color="auto"/>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noProof/>
                <w:color w:val="000000"/>
              </w:rPr>
            </w:pPr>
            <w:r w:rsidRPr="009D1417">
              <w:rPr>
                <w:rFonts w:ascii="Times New Roman" w:eastAsia="宋体" w:hAnsi="Times New Roman" w:cs="Times New Roman"/>
                <w:color w:val="000000"/>
                <w:position w:val="-8"/>
              </w:rPr>
              <w:object w:dxaOrig="820" w:dyaOrig="260">
                <v:shape id="_x0000_i1039" type="#_x0000_t75" style="width:41.65pt;height:13.15pt" o:ole="">
                  <v:imagedata r:id="rId34" o:title=""/>
                </v:shape>
                <o:OLEObject Type="Embed" ProgID="Equation.DSMT4" ShapeID="_x0000_i1039" DrawAspect="Content" ObjectID="_1705597628" r:id="rId35"/>
              </w:object>
            </w:r>
          </w:p>
        </w:tc>
        <w:tc>
          <w:tcPr>
            <w:tcW w:w="3544" w:type="dxa"/>
            <w:tcBorders>
              <w:top w:val="nil"/>
              <w:left w:val="single" w:sz="4" w:space="0" w:color="auto"/>
              <w:bottom w:val="single" w:sz="4" w:space="0" w:color="auto"/>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因变量的统计口径：由村干部或股份经济合作社管理人员口头估算提供</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hint="eastAsia"/>
                <w:color w:val="000000"/>
                <w:kern w:val="0"/>
                <w:sz w:val="18"/>
                <w:szCs w:val="18"/>
              </w:rPr>
              <w:t>；从一事一议记录、仲裁调解记录、清产核资审计记录、村庄财务账目或资产管理台账等书面资料摘录所得</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0.8244</w:t>
            </w:r>
          </w:p>
        </w:tc>
        <w:tc>
          <w:tcPr>
            <w:tcW w:w="851"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0.3807</w:t>
            </w:r>
          </w:p>
        </w:tc>
        <w:tc>
          <w:tcPr>
            <w:tcW w:w="850"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0.5732</w:t>
            </w:r>
          </w:p>
        </w:tc>
        <w:tc>
          <w:tcPr>
            <w:tcW w:w="851" w:type="dxa"/>
            <w:tcBorders>
              <w:top w:val="nil"/>
              <w:left w:val="single" w:sz="4" w:space="0" w:color="auto"/>
              <w:bottom w:val="single" w:sz="4"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0.4952</w:t>
            </w:r>
          </w:p>
        </w:tc>
      </w:tr>
      <w:tr w:rsidR="001A5005" w:rsidRPr="009D1417" w:rsidTr="001A5005">
        <w:trPr>
          <w:trHeight w:val="317"/>
          <w:jc w:val="center"/>
        </w:trPr>
        <w:tc>
          <w:tcPr>
            <w:tcW w:w="1559" w:type="dxa"/>
            <w:tcBorders>
              <w:top w:val="single" w:sz="4" w:space="0" w:color="auto"/>
              <w:left w:val="nil"/>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异质性分析变量</w:t>
            </w:r>
          </w:p>
        </w:tc>
        <w:tc>
          <w:tcPr>
            <w:tcW w:w="3544" w:type="dxa"/>
            <w:tcBorders>
              <w:top w:val="single" w:sz="4" w:space="0" w:color="auto"/>
              <w:left w:val="single" w:sz="4" w:space="0" w:color="auto"/>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color w:val="000000"/>
                <w:kern w:val="0"/>
                <w:sz w:val="18"/>
                <w:szCs w:val="18"/>
              </w:rPr>
            </w:pPr>
          </w:p>
        </w:tc>
        <w:tc>
          <w:tcPr>
            <w:tcW w:w="850"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0"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904866">
            <w:pPr>
              <w:overflowPunct w:val="0"/>
              <w:topLinePunct/>
              <w:spacing w:line="300" w:lineRule="exact"/>
              <w:ind w:leftChars="200" w:left="420"/>
              <w:rPr>
                <w:rFonts w:ascii="Times New Roman" w:eastAsia="宋体" w:hAnsi="Times New Roman" w:cs="Times New Roman"/>
                <w:i/>
                <w:color w:val="000000"/>
                <w:kern w:val="0"/>
                <w:sz w:val="18"/>
                <w:szCs w:val="18"/>
              </w:rPr>
            </w:pPr>
            <w:r w:rsidRPr="009D1417">
              <w:rPr>
                <w:rFonts w:ascii="Times New Roman" w:eastAsia="宋体" w:hAnsi="Times New Roman" w:cs="Times New Roman"/>
                <w:color w:val="000000"/>
                <w:position w:val="-8"/>
              </w:rPr>
              <w:object w:dxaOrig="680" w:dyaOrig="240">
                <v:shape id="_x0000_i1040" type="#_x0000_t75" style="width:32.85pt;height:11.6pt" o:ole="">
                  <v:imagedata r:id="rId36" o:title=""/>
                </v:shape>
                <o:OLEObject Type="Embed" ProgID="Equation.DSMT4" ShapeID="_x0000_i1040" DrawAspect="Content" ObjectID="_1705597629" r:id="rId37"/>
              </w:object>
            </w:r>
          </w:p>
        </w:tc>
        <w:tc>
          <w:tcPr>
            <w:tcW w:w="3544" w:type="dxa"/>
            <w:tcBorders>
              <w:top w:val="nil"/>
              <w:left w:val="single" w:sz="4" w:space="0" w:color="auto"/>
              <w:bottom w:val="nil"/>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集体经营性资产类型：机器设备</w:t>
            </w:r>
            <w:r w:rsidRPr="009D1417">
              <w:rPr>
                <w:rFonts w:ascii="Times New Roman" w:eastAsia="宋体" w:hAnsi="Times New Roman" w:cs="Times New Roman"/>
                <w:color w:val="000000"/>
                <w:kern w:val="0"/>
                <w:sz w:val="18"/>
                <w:szCs w:val="18"/>
              </w:rPr>
              <w:t>=Ⅰ</w:t>
            </w:r>
            <w:r w:rsidRPr="009D1417">
              <w:rPr>
                <w:rFonts w:ascii="Times New Roman" w:eastAsia="宋体" w:hAnsi="Times New Roman" w:cs="Times New Roman"/>
                <w:color w:val="000000"/>
                <w:kern w:val="0"/>
                <w:sz w:val="18"/>
                <w:szCs w:val="18"/>
              </w:rPr>
              <w:t>；厂房建筑</w:t>
            </w:r>
            <w:r w:rsidRPr="009D1417">
              <w:rPr>
                <w:rFonts w:ascii="Times New Roman" w:eastAsia="宋体" w:hAnsi="Times New Roman" w:cs="Times New Roman"/>
                <w:color w:val="000000"/>
                <w:kern w:val="0"/>
                <w:sz w:val="18"/>
                <w:szCs w:val="18"/>
              </w:rPr>
              <w:t>=Ⅱ</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村办企业</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Ⅲ</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小农水及配套机电装备</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Ⅳ</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904866">
            <w:pPr>
              <w:overflowPunct w:val="0"/>
              <w:topLinePunct/>
              <w:spacing w:line="300" w:lineRule="exact"/>
              <w:ind w:leftChars="200" w:left="420"/>
              <w:rPr>
                <w:rFonts w:ascii="Times New Roman" w:eastAsia="宋体" w:hAnsi="Times New Roman" w:cs="Times New Roman"/>
                <w:i/>
                <w:color w:val="000000"/>
                <w:kern w:val="0"/>
                <w:sz w:val="18"/>
                <w:szCs w:val="18"/>
              </w:rPr>
            </w:pPr>
            <w:r w:rsidRPr="009D1417">
              <w:rPr>
                <w:rFonts w:ascii="Times New Roman" w:eastAsia="宋体" w:hAnsi="Times New Roman" w:cs="Times New Roman"/>
                <w:color w:val="000000"/>
                <w:position w:val="-8"/>
              </w:rPr>
              <w:object w:dxaOrig="760" w:dyaOrig="260">
                <v:shape id="_x0000_i1041" type="#_x0000_t75" style="width:37.9pt;height:13.15pt" o:ole="">
                  <v:imagedata r:id="rId38" o:title=""/>
                </v:shape>
                <o:OLEObject Type="Embed" ProgID="Equation.DSMT4" ShapeID="_x0000_i1041" DrawAspect="Content" ObjectID="_1705597630" r:id="rId39"/>
              </w:object>
            </w:r>
          </w:p>
        </w:tc>
        <w:tc>
          <w:tcPr>
            <w:tcW w:w="3544" w:type="dxa"/>
            <w:tcBorders>
              <w:top w:val="nil"/>
              <w:left w:val="single" w:sz="4" w:space="0" w:color="auto"/>
              <w:bottom w:val="nil"/>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集体经营性资产所处村庄类型：城中村</w:t>
            </w:r>
            <w:r w:rsidRPr="009D1417">
              <w:rPr>
                <w:rFonts w:ascii="Times New Roman" w:eastAsia="宋体" w:hAnsi="Times New Roman" w:cs="Times New Roman"/>
                <w:color w:val="000000"/>
                <w:kern w:val="0"/>
                <w:sz w:val="18"/>
                <w:szCs w:val="18"/>
              </w:rPr>
              <w:t>=Ⅰ</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城郊村及乡镇中心区村庄</w:t>
            </w:r>
            <w:r w:rsidRPr="009D1417">
              <w:rPr>
                <w:rFonts w:ascii="Times New Roman" w:eastAsia="宋体" w:hAnsi="Times New Roman" w:cs="Times New Roman"/>
                <w:color w:val="000000"/>
                <w:kern w:val="0"/>
                <w:sz w:val="18"/>
                <w:szCs w:val="18"/>
              </w:rPr>
              <w:t>=Ⅱ</w:t>
            </w:r>
            <w:r w:rsidRPr="009D1417">
              <w:rPr>
                <w:rFonts w:ascii="Times New Roman" w:eastAsia="宋体" w:hAnsi="Times New Roman" w:cs="Times New Roman" w:hint="eastAsia"/>
                <w:color w:val="000000"/>
                <w:kern w:val="0"/>
                <w:sz w:val="18"/>
                <w:szCs w:val="18"/>
              </w:rPr>
              <w:t>；典型农区村庄</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Ⅲ</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904866">
            <w:pPr>
              <w:overflowPunct w:val="0"/>
              <w:topLinePunct/>
              <w:spacing w:line="300" w:lineRule="exact"/>
              <w:ind w:leftChars="200" w:left="420"/>
              <w:rPr>
                <w:rFonts w:ascii="Times New Roman" w:eastAsia="宋体" w:hAnsi="Times New Roman" w:cs="Times New Roman"/>
                <w:i/>
                <w:color w:val="000000"/>
                <w:kern w:val="0"/>
                <w:sz w:val="18"/>
                <w:szCs w:val="18"/>
              </w:rPr>
            </w:pPr>
            <w:r w:rsidRPr="009D1417">
              <w:rPr>
                <w:rFonts w:ascii="Times New Roman" w:eastAsia="宋体" w:hAnsi="Times New Roman" w:cs="Times New Roman"/>
                <w:color w:val="000000"/>
                <w:position w:val="-8"/>
              </w:rPr>
              <w:object w:dxaOrig="780" w:dyaOrig="260">
                <v:shape id="_x0000_i1042" type="#_x0000_t75" style="width:39.15pt;height:13.15pt" o:ole="">
                  <v:imagedata r:id="rId40" o:title=""/>
                </v:shape>
                <o:OLEObject Type="Embed" ProgID="Equation.DSMT4" ShapeID="_x0000_i1042" DrawAspect="Content" ObjectID="_1705597631" r:id="rId41"/>
              </w:object>
            </w:r>
          </w:p>
        </w:tc>
        <w:tc>
          <w:tcPr>
            <w:tcW w:w="3544" w:type="dxa"/>
            <w:tcBorders>
              <w:top w:val="nil"/>
              <w:left w:val="single" w:sz="4" w:space="0" w:color="auto"/>
              <w:bottom w:val="nil"/>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集体经营性资产的股权设置：只设</w:t>
            </w:r>
            <w:r w:rsidRPr="009D1417">
              <w:rPr>
                <w:rFonts w:ascii="Times New Roman" w:eastAsia="宋体" w:hAnsi="Times New Roman" w:cs="Times New Roman" w:hint="eastAsia"/>
                <w:color w:val="000000"/>
                <w:sz w:val="18"/>
                <w:szCs w:val="18"/>
              </w:rPr>
              <w:t>人口股</w:t>
            </w:r>
            <w:r w:rsidRPr="009D1417">
              <w:rPr>
                <w:rFonts w:ascii="Times New Roman" w:eastAsia="宋体" w:hAnsi="Times New Roman" w:cs="Times New Roman"/>
                <w:color w:val="000000"/>
                <w:kern w:val="0"/>
                <w:sz w:val="18"/>
                <w:szCs w:val="18"/>
              </w:rPr>
              <w:t>=Ⅰ</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sz w:val="18"/>
                <w:szCs w:val="18"/>
              </w:rPr>
              <w:t>人口股</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sz w:val="18"/>
                <w:szCs w:val="18"/>
              </w:rPr>
              <w:t>劳龄股</w:t>
            </w:r>
            <w:r w:rsidRPr="009D1417">
              <w:rPr>
                <w:rFonts w:ascii="Times New Roman" w:eastAsia="宋体" w:hAnsi="Times New Roman" w:cs="Times New Roman" w:hint="eastAsia"/>
                <w:color w:val="000000"/>
                <w:sz w:val="18"/>
                <w:szCs w:val="18"/>
              </w:rPr>
              <w:t>等其他成员股</w:t>
            </w:r>
            <w:r w:rsidRPr="009D1417">
              <w:rPr>
                <w:rFonts w:ascii="Times New Roman" w:eastAsia="宋体" w:hAnsi="Times New Roman" w:cs="Times New Roman"/>
                <w:color w:val="000000"/>
                <w:kern w:val="0"/>
                <w:sz w:val="18"/>
                <w:szCs w:val="18"/>
              </w:rPr>
              <w:t>=Ⅱ</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hint="eastAsia"/>
                <w:color w:val="000000"/>
                <w:sz w:val="18"/>
                <w:szCs w:val="18"/>
              </w:rPr>
              <w:t>人口股</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集体股</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Ⅲ</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hint="eastAsia"/>
                <w:color w:val="000000"/>
                <w:sz w:val="18"/>
                <w:szCs w:val="18"/>
              </w:rPr>
              <w:t>人口股</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sz w:val="18"/>
                <w:szCs w:val="18"/>
              </w:rPr>
              <w:t>劳龄股</w:t>
            </w:r>
            <w:r w:rsidRPr="009D1417">
              <w:rPr>
                <w:rFonts w:ascii="Times New Roman" w:eastAsia="宋体" w:hAnsi="Times New Roman" w:cs="Times New Roman" w:hint="eastAsia"/>
                <w:color w:val="000000"/>
                <w:sz w:val="18"/>
                <w:szCs w:val="18"/>
              </w:rPr>
              <w:t>等其他成员股</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集体股</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Ⅳ</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904866">
            <w:pPr>
              <w:overflowPunct w:val="0"/>
              <w:topLinePunct/>
              <w:spacing w:line="300" w:lineRule="exact"/>
              <w:ind w:leftChars="200" w:left="420"/>
              <w:rPr>
                <w:rFonts w:ascii="Times New Roman" w:eastAsia="宋体" w:hAnsi="Times New Roman" w:cs="Times New Roman"/>
                <w:i/>
                <w:color w:val="000000"/>
                <w:kern w:val="0"/>
                <w:sz w:val="18"/>
                <w:szCs w:val="18"/>
              </w:rPr>
            </w:pPr>
            <w:r w:rsidRPr="009D1417">
              <w:rPr>
                <w:rFonts w:ascii="Times New Roman" w:eastAsia="宋体" w:hAnsi="Times New Roman" w:cs="Times New Roman"/>
                <w:color w:val="000000"/>
                <w:position w:val="-8"/>
              </w:rPr>
              <w:object w:dxaOrig="859" w:dyaOrig="260">
                <v:shape id="_x0000_i1043" type="#_x0000_t75" style="width:42.55pt;height:13.15pt" o:ole="">
                  <v:imagedata r:id="rId42" o:title=""/>
                </v:shape>
                <o:OLEObject Type="Embed" ProgID="Equation.DSMT4" ShapeID="_x0000_i1043" DrawAspect="Content" ObjectID="_1705597632" r:id="rId43"/>
              </w:object>
            </w:r>
          </w:p>
        </w:tc>
        <w:tc>
          <w:tcPr>
            <w:tcW w:w="3544" w:type="dxa"/>
            <w:tcBorders>
              <w:top w:val="nil"/>
              <w:left w:val="single" w:sz="4" w:space="0" w:color="auto"/>
              <w:bottom w:val="nil"/>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集体经营性资产的股份管理：“生不增、死不减、入不增、出不减”的静态管理</w:t>
            </w:r>
            <w:r w:rsidRPr="009D1417">
              <w:rPr>
                <w:rFonts w:ascii="Times New Roman" w:eastAsia="宋体" w:hAnsi="Times New Roman" w:cs="Times New Roman"/>
                <w:color w:val="000000"/>
                <w:kern w:val="0"/>
                <w:sz w:val="18"/>
                <w:szCs w:val="18"/>
              </w:rPr>
              <w:t>=Ⅰ</w:t>
            </w:r>
            <w:r w:rsidRPr="009D1417">
              <w:rPr>
                <w:rFonts w:ascii="Times New Roman" w:eastAsia="宋体" w:hAnsi="Times New Roman" w:cs="Times New Roman"/>
                <w:color w:val="000000"/>
                <w:kern w:val="0"/>
                <w:sz w:val="18"/>
                <w:szCs w:val="18"/>
              </w:rPr>
              <w:t>；按一定周期实行</w:t>
            </w:r>
            <w:r w:rsidRPr="009D1417">
              <w:rPr>
                <w:rFonts w:ascii="宋体" w:eastAsia="宋体" w:hAnsi="宋体" w:cs="Times New Roman"/>
                <w:color w:val="000000"/>
                <w:kern w:val="0"/>
                <w:sz w:val="18"/>
                <w:szCs w:val="18"/>
              </w:rPr>
              <w:t>“生增、死减</w:t>
            </w:r>
            <w:r w:rsidRPr="009D1417">
              <w:rPr>
                <w:rFonts w:ascii="宋体" w:eastAsia="宋体" w:hAnsi="宋体" w:cs="Times New Roman" w:hint="eastAsia"/>
                <w:color w:val="000000"/>
                <w:kern w:val="0"/>
                <w:sz w:val="18"/>
                <w:szCs w:val="18"/>
              </w:rPr>
              <w:t>、入增、出减</w:t>
            </w:r>
            <w:r w:rsidRPr="009D1417">
              <w:rPr>
                <w:rFonts w:ascii="宋体" w:eastAsia="宋体" w:hAnsi="宋体" w:cs="Times New Roman"/>
                <w:color w:val="000000"/>
                <w:kern w:val="0"/>
                <w:sz w:val="18"/>
                <w:szCs w:val="18"/>
              </w:rPr>
              <w:t>”</w:t>
            </w:r>
            <w:r w:rsidRPr="009D1417">
              <w:rPr>
                <w:rFonts w:ascii="Times New Roman" w:eastAsia="宋体" w:hAnsi="Times New Roman" w:cs="Times New Roman"/>
                <w:color w:val="000000"/>
                <w:kern w:val="0"/>
                <w:sz w:val="18"/>
                <w:szCs w:val="18"/>
              </w:rPr>
              <w:t>的动态管理</w:t>
            </w:r>
            <w:r w:rsidRPr="009D1417">
              <w:rPr>
                <w:rFonts w:ascii="Times New Roman" w:eastAsia="宋体" w:hAnsi="Times New Roman" w:cs="Times New Roman"/>
                <w:color w:val="000000"/>
                <w:kern w:val="0"/>
                <w:sz w:val="18"/>
                <w:szCs w:val="18"/>
              </w:rPr>
              <w:t>=Ⅱ</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904866">
            <w:pPr>
              <w:overflowPunct w:val="0"/>
              <w:topLinePunct/>
              <w:spacing w:line="300" w:lineRule="exact"/>
              <w:ind w:leftChars="200" w:left="420"/>
              <w:rPr>
                <w:rFonts w:ascii="Times New Roman" w:eastAsia="宋体" w:hAnsi="Times New Roman" w:cs="Times New Roman"/>
                <w:i/>
                <w:color w:val="000000"/>
                <w:kern w:val="0"/>
                <w:sz w:val="18"/>
                <w:szCs w:val="18"/>
              </w:rPr>
            </w:pPr>
            <w:r w:rsidRPr="009D1417">
              <w:rPr>
                <w:rFonts w:ascii="Times New Roman" w:eastAsia="宋体" w:hAnsi="Times New Roman" w:cs="Times New Roman"/>
                <w:color w:val="000000"/>
                <w:position w:val="-8"/>
              </w:rPr>
              <w:object w:dxaOrig="840" w:dyaOrig="240">
                <v:shape id="_x0000_i1044" type="#_x0000_t75" style="width:41.95pt;height:11.6pt" o:ole="">
                  <v:imagedata r:id="rId44" o:title=""/>
                </v:shape>
                <o:OLEObject Type="Embed" ProgID="Equation.DSMT4" ShapeID="_x0000_i1044" DrawAspect="Content" ObjectID="_1705597633" r:id="rId45"/>
              </w:object>
            </w:r>
          </w:p>
        </w:tc>
        <w:tc>
          <w:tcPr>
            <w:tcW w:w="3544" w:type="dxa"/>
            <w:tcBorders>
              <w:top w:val="nil"/>
              <w:left w:val="single" w:sz="4" w:space="0" w:color="auto"/>
              <w:bottom w:val="nil"/>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集体经济组织的治理结构：成员大会</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理事会</w:t>
            </w:r>
            <w:r w:rsidRPr="009D1417">
              <w:rPr>
                <w:rFonts w:ascii="Times New Roman" w:eastAsia="宋体" w:hAnsi="Times New Roman" w:cs="Times New Roman"/>
                <w:color w:val="000000"/>
                <w:kern w:val="0"/>
                <w:sz w:val="18"/>
                <w:szCs w:val="18"/>
              </w:rPr>
              <w:t>=Ⅰ</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成员</w:t>
            </w:r>
            <w:r w:rsidRPr="009D1417">
              <w:rPr>
                <w:rFonts w:ascii="Times New Roman" w:eastAsia="宋体" w:hAnsi="Times New Roman" w:cs="Times New Roman"/>
                <w:color w:val="000000"/>
                <w:kern w:val="0"/>
                <w:sz w:val="18"/>
                <w:szCs w:val="18"/>
              </w:rPr>
              <w:t>大会</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理事会</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监事会</w:t>
            </w:r>
            <w:r w:rsidRPr="009D1417">
              <w:rPr>
                <w:rFonts w:ascii="Times New Roman" w:eastAsia="宋体" w:hAnsi="Times New Roman" w:cs="Times New Roman"/>
                <w:color w:val="000000"/>
                <w:kern w:val="0"/>
                <w:sz w:val="18"/>
                <w:szCs w:val="18"/>
              </w:rPr>
              <w:t>=Ⅱ</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nil"/>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nil"/>
              <w:left w:val="nil"/>
              <w:bottom w:val="single" w:sz="4" w:space="0" w:color="auto"/>
              <w:right w:val="single" w:sz="4" w:space="0" w:color="auto"/>
            </w:tcBorders>
            <w:vAlign w:val="center"/>
          </w:tcPr>
          <w:p w:rsidR="001A5005" w:rsidRPr="009D1417" w:rsidRDefault="001A5005" w:rsidP="00904866">
            <w:pPr>
              <w:overflowPunct w:val="0"/>
              <w:topLinePunct/>
              <w:spacing w:line="300" w:lineRule="exact"/>
              <w:ind w:leftChars="200" w:left="420"/>
              <w:rPr>
                <w:rFonts w:ascii="Times New Roman" w:eastAsia="宋体" w:hAnsi="Times New Roman" w:cs="Times New Roman"/>
                <w:i/>
                <w:color w:val="000000"/>
                <w:kern w:val="0"/>
                <w:sz w:val="18"/>
                <w:szCs w:val="18"/>
              </w:rPr>
            </w:pPr>
            <w:r w:rsidRPr="009D1417">
              <w:rPr>
                <w:rFonts w:ascii="Times New Roman" w:eastAsia="宋体" w:hAnsi="Times New Roman" w:cs="Times New Roman"/>
                <w:color w:val="000000"/>
                <w:position w:val="-8"/>
              </w:rPr>
              <w:object w:dxaOrig="680" w:dyaOrig="240">
                <v:shape id="_x0000_i1045" type="#_x0000_t75" style="width:32.85pt;height:11.6pt" o:ole="">
                  <v:imagedata r:id="rId46" o:title=""/>
                </v:shape>
                <o:OLEObject Type="Embed" ProgID="Equation.DSMT4" ShapeID="_x0000_i1045" DrawAspect="Content" ObjectID="_1705597634" r:id="rId47"/>
              </w:object>
            </w:r>
          </w:p>
        </w:tc>
        <w:tc>
          <w:tcPr>
            <w:tcW w:w="3544" w:type="dxa"/>
            <w:tcBorders>
              <w:top w:val="nil"/>
              <w:left w:val="single" w:sz="4" w:space="0" w:color="auto"/>
              <w:bottom w:val="single" w:sz="4" w:space="0" w:color="auto"/>
              <w:right w:val="single" w:sz="4" w:space="0" w:color="auto"/>
            </w:tcBorders>
            <w:vAlign w:val="center"/>
          </w:tcPr>
          <w:p w:rsidR="001A5005" w:rsidRPr="009D1417" w:rsidRDefault="001A5005" w:rsidP="00904866">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集体经济组织的表决机制：一人一票</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简单多数原则</w:t>
            </w:r>
            <w:r w:rsidRPr="009D1417">
              <w:rPr>
                <w:rFonts w:ascii="Times New Roman" w:eastAsia="宋体" w:hAnsi="Times New Roman" w:cs="Times New Roman"/>
                <w:color w:val="000000"/>
                <w:kern w:val="0"/>
                <w:sz w:val="18"/>
                <w:szCs w:val="18"/>
              </w:rPr>
              <w:t>=Ⅰ</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一人一票</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绝对多数原则</w:t>
            </w:r>
            <w:r w:rsidRPr="009D1417">
              <w:rPr>
                <w:rFonts w:ascii="Times New Roman" w:eastAsia="宋体" w:hAnsi="Times New Roman" w:cs="Times New Roman"/>
                <w:color w:val="000000"/>
                <w:kern w:val="0"/>
                <w:sz w:val="18"/>
                <w:szCs w:val="18"/>
              </w:rPr>
              <w:t>=Ⅱ</w:t>
            </w:r>
            <w:r w:rsidRPr="009D1417">
              <w:rPr>
                <w:rFonts w:ascii="Times New Roman" w:eastAsia="宋体" w:hAnsi="Times New Roman" w:cs="Times New Roman" w:hint="eastAsia"/>
                <w:color w:val="000000"/>
                <w:kern w:val="0"/>
                <w:sz w:val="18"/>
                <w:szCs w:val="18"/>
              </w:rPr>
              <w:t>；一股一票</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color w:val="000000"/>
                <w:kern w:val="0"/>
                <w:sz w:val="18"/>
                <w:szCs w:val="18"/>
              </w:rPr>
              <w:t>简单多数原则</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Ⅲ</w:t>
            </w:r>
            <w:r w:rsidRPr="009D1417">
              <w:rPr>
                <w:rFonts w:ascii="Times New Roman" w:eastAsia="宋体" w:hAnsi="Times New Roman" w:cs="Times New Roman" w:hint="eastAsia"/>
                <w:color w:val="000000"/>
                <w:kern w:val="0"/>
                <w:sz w:val="18"/>
                <w:szCs w:val="18"/>
              </w:rPr>
              <w:t>；一股一票</w:t>
            </w:r>
            <w:r w:rsidRPr="009D1417">
              <w:rPr>
                <w:rFonts w:ascii="Times New Roman" w:eastAsia="宋体" w:hAnsi="Times New Roman" w:cs="Times New Roman"/>
                <w:color w:val="000000"/>
                <w:kern w:val="0"/>
                <w:sz w:val="18"/>
                <w:szCs w:val="18"/>
              </w:rPr>
              <w:t>+</w:t>
            </w:r>
            <w:r w:rsidRPr="009D1417">
              <w:rPr>
                <w:rFonts w:ascii="Times New Roman" w:eastAsia="宋体" w:hAnsi="Times New Roman" w:cs="Times New Roman" w:hint="eastAsia"/>
                <w:color w:val="000000"/>
                <w:kern w:val="0"/>
                <w:sz w:val="18"/>
                <w:szCs w:val="18"/>
              </w:rPr>
              <w:t>绝对多数原则</w:t>
            </w:r>
            <w:r w:rsidRPr="009D1417">
              <w:rPr>
                <w:rFonts w:ascii="Times New Roman" w:eastAsia="宋体" w:hAnsi="Times New Roman" w:cs="Times New Roman" w:hint="eastAsia"/>
                <w:color w:val="000000"/>
                <w:kern w:val="0"/>
                <w:sz w:val="18"/>
                <w:szCs w:val="18"/>
              </w:rPr>
              <w:t>=</w:t>
            </w:r>
            <w:r w:rsidRPr="009D1417">
              <w:rPr>
                <w:rFonts w:ascii="Times New Roman" w:eastAsia="宋体" w:hAnsi="Times New Roman" w:cs="Times New Roman"/>
                <w:color w:val="000000"/>
                <w:kern w:val="0"/>
                <w:sz w:val="18"/>
                <w:szCs w:val="18"/>
              </w:rPr>
              <w:t>Ⅳ</w:t>
            </w:r>
          </w:p>
        </w:tc>
        <w:tc>
          <w:tcPr>
            <w:tcW w:w="850" w:type="dxa"/>
            <w:tcBorders>
              <w:top w:val="nil"/>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0" w:type="dxa"/>
            <w:tcBorders>
              <w:top w:val="nil"/>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c>
          <w:tcPr>
            <w:tcW w:w="851" w:type="dxa"/>
            <w:tcBorders>
              <w:top w:val="nil"/>
              <w:left w:val="single" w:sz="4" w:space="0" w:color="auto"/>
              <w:bottom w:val="single" w:sz="4" w:space="0" w:color="auto"/>
              <w:right w:val="nil"/>
            </w:tcBorders>
            <w:vAlign w:val="center"/>
          </w:tcPr>
          <w:p w:rsidR="001A5005" w:rsidRPr="00CF58A2" w:rsidRDefault="001A5005" w:rsidP="00904866">
            <w:pPr>
              <w:overflowPunct w:val="0"/>
              <w:topLinePunct/>
              <w:jc w:val="center"/>
              <w:rPr>
                <w:rFonts w:ascii="Times New Roman" w:eastAsia="宋体" w:hAnsi="Times New Roman" w:cs="Times New Roman"/>
                <w:color w:val="000000" w:themeColor="text1"/>
                <w:kern w:val="0"/>
                <w:sz w:val="18"/>
                <w:szCs w:val="18"/>
                <w:highlight w:val="cyan"/>
              </w:rPr>
            </w:pPr>
            <w:r w:rsidRPr="00CF58A2">
              <w:rPr>
                <w:rFonts w:ascii="Times New Roman" w:eastAsia="宋体" w:hAnsi="Times New Roman" w:cs="Times New Roman" w:hint="eastAsia"/>
                <w:color w:val="000000" w:themeColor="text1"/>
                <w:kern w:val="0"/>
                <w:sz w:val="18"/>
                <w:szCs w:val="18"/>
                <w:highlight w:val="cyan"/>
              </w:rPr>
              <w:t>—</w:t>
            </w:r>
          </w:p>
        </w:tc>
      </w:tr>
      <w:tr w:rsidR="001A5005" w:rsidRPr="009D1417" w:rsidTr="001A5005">
        <w:trPr>
          <w:trHeight w:val="317"/>
          <w:jc w:val="center"/>
        </w:trPr>
        <w:tc>
          <w:tcPr>
            <w:tcW w:w="1559" w:type="dxa"/>
            <w:tcBorders>
              <w:top w:val="single" w:sz="4" w:space="0" w:color="auto"/>
              <w:left w:val="nil"/>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iCs/>
                <w:color w:val="000000"/>
                <w:kern w:val="0"/>
                <w:sz w:val="18"/>
                <w:szCs w:val="18"/>
              </w:rPr>
            </w:pPr>
            <w:r w:rsidRPr="009D1417">
              <w:rPr>
                <w:rFonts w:ascii="Times New Roman" w:eastAsia="宋体" w:hAnsi="Times New Roman" w:cs="Times New Roman" w:hint="eastAsia"/>
                <w:iCs/>
                <w:color w:val="000000"/>
                <w:kern w:val="0"/>
                <w:sz w:val="18"/>
                <w:szCs w:val="18"/>
              </w:rPr>
              <w:t>机制检验变量</w:t>
            </w:r>
          </w:p>
        </w:tc>
        <w:tc>
          <w:tcPr>
            <w:tcW w:w="3544" w:type="dxa"/>
            <w:tcBorders>
              <w:top w:val="single" w:sz="4" w:space="0" w:color="auto"/>
              <w:left w:val="single" w:sz="4" w:space="0" w:color="auto"/>
              <w:bottom w:val="nil"/>
              <w:right w:val="single" w:sz="4" w:space="0" w:color="auto"/>
            </w:tcBorders>
            <w:vAlign w:val="center"/>
          </w:tcPr>
          <w:p w:rsidR="001A5005" w:rsidRPr="009D1417" w:rsidRDefault="001A5005" w:rsidP="007E5F46">
            <w:pPr>
              <w:overflowPunct w:val="0"/>
              <w:topLinePunct/>
              <w:spacing w:line="300" w:lineRule="exact"/>
              <w:rPr>
                <w:rFonts w:ascii="Times New Roman" w:eastAsia="宋体" w:hAnsi="Times New Roman" w:cs="Times New Roman"/>
                <w:color w:val="000000"/>
                <w:kern w:val="0"/>
                <w:sz w:val="18"/>
                <w:szCs w:val="18"/>
              </w:rPr>
            </w:pPr>
          </w:p>
        </w:tc>
        <w:tc>
          <w:tcPr>
            <w:tcW w:w="850"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0"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c>
          <w:tcPr>
            <w:tcW w:w="851" w:type="dxa"/>
            <w:tcBorders>
              <w:top w:val="single" w:sz="4" w:space="0" w:color="auto"/>
              <w:left w:val="single" w:sz="4" w:space="0" w:color="auto"/>
              <w:bottom w:val="nil"/>
              <w:right w:val="nil"/>
            </w:tcBorders>
            <w:vAlign w:val="center"/>
          </w:tcPr>
          <w:p w:rsidR="001A5005" w:rsidRPr="00CF58A2" w:rsidRDefault="001A5005" w:rsidP="007E5F46">
            <w:pPr>
              <w:spacing w:line="300" w:lineRule="exact"/>
              <w:jc w:val="center"/>
              <w:rPr>
                <w:rFonts w:ascii="Times New Roman" w:eastAsia="宋体" w:hAnsi="Times New Roman" w:cs="Times New Roman"/>
                <w:color w:val="000000"/>
                <w:kern w:val="0"/>
                <w:sz w:val="18"/>
                <w:szCs w:val="18"/>
                <w:highlight w:val="cyan"/>
              </w:rPr>
            </w:pPr>
          </w:p>
        </w:tc>
      </w:tr>
      <w:tr w:rsidR="001A5005" w:rsidRPr="009D1417" w:rsidTr="001A5005">
        <w:trPr>
          <w:trHeight w:val="317"/>
          <w:jc w:val="center"/>
        </w:trPr>
        <w:tc>
          <w:tcPr>
            <w:tcW w:w="1559" w:type="dxa"/>
            <w:tcBorders>
              <w:top w:val="nil"/>
              <w:left w:val="nil"/>
              <w:bottom w:val="nil"/>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i/>
                <w:iCs/>
                <w:color w:val="000000"/>
                <w:kern w:val="0"/>
                <w:sz w:val="18"/>
                <w:szCs w:val="18"/>
              </w:rPr>
            </w:pPr>
            <w:r w:rsidRPr="009D1417">
              <w:rPr>
                <w:rFonts w:ascii="Times New Roman" w:eastAsia="宋体" w:hAnsi="Times New Roman" w:cs="Times New Roman"/>
                <w:color w:val="000000"/>
                <w:position w:val="-8"/>
              </w:rPr>
              <w:object w:dxaOrig="840" w:dyaOrig="260">
                <v:shape id="_x0000_i1046" type="#_x0000_t75" style="width:41.95pt;height:13.15pt" o:ole="">
                  <v:imagedata r:id="rId48" o:title=""/>
                </v:shape>
                <o:OLEObject Type="Embed" ProgID="Equation.DSMT4" ShapeID="_x0000_i1046" DrawAspect="Content" ObjectID="_1705597635" r:id="rId49"/>
              </w:object>
            </w:r>
          </w:p>
        </w:tc>
        <w:tc>
          <w:tcPr>
            <w:tcW w:w="3544" w:type="dxa"/>
            <w:tcBorders>
              <w:top w:val="nil"/>
              <w:left w:val="single" w:sz="4" w:space="0" w:color="auto"/>
              <w:bottom w:val="nil"/>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集体经济组织是否对资产份额（股份）的占有、收益、使用、有偿退出、继承等权能进行公开界定与成文规定：是</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；否</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nil"/>
              <w:right w:val="nil"/>
            </w:tcBorders>
            <w:vAlign w:val="center"/>
          </w:tcPr>
          <w:p w:rsidR="001A5005" w:rsidRPr="00CF58A2" w:rsidRDefault="001A5005" w:rsidP="001A5005">
            <w:pPr>
              <w:widowControl/>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0.0502</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0.2184</w:t>
            </w:r>
          </w:p>
        </w:tc>
        <w:tc>
          <w:tcPr>
            <w:tcW w:w="850" w:type="dxa"/>
            <w:tcBorders>
              <w:top w:val="nil"/>
              <w:left w:val="single" w:sz="4" w:space="0" w:color="auto"/>
              <w:bottom w:val="nil"/>
              <w:right w:val="nil"/>
            </w:tcBorders>
            <w:vAlign w:val="center"/>
          </w:tcPr>
          <w:p w:rsidR="001A5005" w:rsidRPr="00CF58A2" w:rsidRDefault="001A5005" w:rsidP="001A5005">
            <w:pPr>
              <w:widowControl/>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0.4697</w:t>
            </w:r>
          </w:p>
        </w:tc>
        <w:tc>
          <w:tcPr>
            <w:tcW w:w="851" w:type="dxa"/>
            <w:tcBorders>
              <w:top w:val="nil"/>
              <w:left w:val="single" w:sz="4" w:space="0" w:color="auto"/>
              <w:bottom w:val="nil"/>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0.4997</w:t>
            </w:r>
          </w:p>
        </w:tc>
      </w:tr>
      <w:tr w:rsidR="001A5005" w:rsidRPr="009D1417" w:rsidTr="001A5005">
        <w:trPr>
          <w:trHeight w:val="317"/>
          <w:jc w:val="center"/>
        </w:trPr>
        <w:tc>
          <w:tcPr>
            <w:tcW w:w="1559" w:type="dxa"/>
            <w:tcBorders>
              <w:top w:val="nil"/>
              <w:left w:val="nil"/>
              <w:bottom w:val="single" w:sz="12" w:space="0" w:color="auto"/>
              <w:right w:val="single" w:sz="4" w:space="0" w:color="auto"/>
            </w:tcBorders>
            <w:vAlign w:val="center"/>
          </w:tcPr>
          <w:p w:rsidR="001A5005" w:rsidRPr="009D1417" w:rsidRDefault="001A5005" w:rsidP="001A5005">
            <w:pPr>
              <w:overflowPunct w:val="0"/>
              <w:topLinePunct/>
              <w:spacing w:line="300" w:lineRule="exact"/>
              <w:ind w:leftChars="200" w:left="420"/>
              <w:rPr>
                <w:rFonts w:ascii="Times New Roman" w:eastAsia="宋体" w:hAnsi="Times New Roman" w:cs="Times New Roman"/>
                <w:color w:val="000000"/>
                <w:kern w:val="0"/>
                <w:sz w:val="18"/>
                <w:szCs w:val="18"/>
              </w:rPr>
            </w:pPr>
            <w:r w:rsidRPr="009D1417">
              <w:rPr>
                <w:rFonts w:ascii="Times New Roman" w:eastAsia="宋体" w:hAnsi="Times New Roman" w:cs="Times New Roman"/>
                <w:color w:val="000000"/>
                <w:position w:val="-8"/>
              </w:rPr>
              <w:object w:dxaOrig="760" w:dyaOrig="260">
                <v:shape id="_x0000_i1047" type="#_x0000_t75" style="width:37.9pt;height:13.15pt" o:ole="">
                  <v:imagedata r:id="rId50" o:title=""/>
                </v:shape>
                <o:OLEObject Type="Embed" ProgID="Equation.DSMT4" ShapeID="_x0000_i1047" DrawAspect="Content" ObjectID="_1705597636" r:id="rId51"/>
              </w:object>
            </w:r>
          </w:p>
        </w:tc>
        <w:tc>
          <w:tcPr>
            <w:tcW w:w="3544" w:type="dxa"/>
            <w:tcBorders>
              <w:top w:val="nil"/>
              <w:left w:val="single" w:sz="4" w:space="0" w:color="auto"/>
              <w:bottom w:val="single" w:sz="12" w:space="0" w:color="auto"/>
              <w:right w:val="single" w:sz="4" w:space="0" w:color="auto"/>
            </w:tcBorders>
            <w:vAlign w:val="center"/>
          </w:tcPr>
          <w:p w:rsidR="001A5005" w:rsidRPr="009D1417" w:rsidRDefault="001A5005" w:rsidP="001A5005">
            <w:pPr>
              <w:overflowPunct w:val="0"/>
              <w:topLinePunct/>
              <w:spacing w:line="300" w:lineRule="exact"/>
              <w:rPr>
                <w:rFonts w:ascii="Times New Roman" w:eastAsia="宋体" w:hAnsi="Times New Roman" w:cs="Times New Roman"/>
                <w:color w:val="000000"/>
                <w:kern w:val="0"/>
                <w:sz w:val="18"/>
                <w:szCs w:val="18"/>
              </w:rPr>
            </w:pPr>
            <w:r w:rsidRPr="009D1417">
              <w:rPr>
                <w:rFonts w:ascii="Times New Roman" w:eastAsia="宋体" w:hAnsi="Times New Roman" w:cs="Times New Roman" w:hint="eastAsia"/>
                <w:color w:val="000000"/>
                <w:kern w:val="0"/>
                <w:sz w:val="18"/>
                <w:szCs w:val="18"/>
              </w:rPr>
              <w:t>集体经济组织是否针对资产挤兑、过度损耗、逃脱管护义务等投机行为建立正式的监督惩罚规定：是</w:t>
            </w:r>
            <w:r w:rsidRPr="009D1417">
              <w:rPr>
                <w:rFonts w:ascii="Times New Roman" w:eastAsia="宋体" w:hAnsi="Times New Roman" w:cs="Times New Roman"/>
                <w:color w:val="000000"/>
                <w:kern w:val="0"/>
                <w:sz w:val="18"/>
                <w:szCs w:val="18"/>
              </w:rPr>
              <w:t>=1</w:t>
            </w:r>
            <w:r w:rsidRPr="009D1417">
              <w:rPr>
                <w:rFonts w:ascii="Times New Roman" w:eastAsia="宋体" w:hAnsi="Times New Roman" w:cs="Times New Roman"/>
                <w:color w:val="000000"/>
                <w:kern w:val="0"/>
                <w:sz w:val="18"/>
                <w:szCs w:val="18"/>
              </w:rPr>
              <w:t>；否</w:t>
            </w:r>
            <w:r w:rsidRPr="009D1417">
              <w:rPr>
                <w:rFonts w:ascii="Times New Roman" w:eastAsia="宋体" w:hAnsi="Times New Roman" w:cs="Times New Roman"/>
                <w:color w:val="000000"/>
                <w:kern w:val="0"/>
                <w:sz w:val="18"/>
                <w:szCs w:val="18"/>
              </w:rPr>
              <w:t>=0</w:t>
            </w:r>
          </w:p>
        </w:tc>
        <w:tc>
          <w:tcPr>
            <w:tcW w:w="850" w:type="dxa"/>
            <w:tcBorders>
              <w:top w:val="nil"/>
              <w:left w:val="single" w:sz="4" w:space="0" w:color="auto"/>
              <w:bottom w:val="single" w:sz="12"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0.1209</w:t>
            </w:r>
          </w:p>
        </w:tc>
        <w:tc>
          <w:tcPr>
            <w:tcW w:w="851" w:type="dxa"/>
            <w:tcBorders>
              <w:top w:val="nil"/>
              <w:left w:val="single" w:sz="4" w:space="0" w:color="auto"/>
              <w:bottom w:val="single" w:sz="12"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0.3262</w:t>
            </w:r>
          </w:p>
        </w:tc>
        <w:tc>
          <w:tcPr>
            <w:tcW w:w="850" w:type="dxa"/>
            <w:tcBorders>
              <w:top w:val="nil"/>
              <w:left w:val="single" w:sz="4" w:space="0" w:color="auto"/>
              <w:bottom w:val="single" w:sz="12"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0.3763</w:t>
            </w:r>
          </w:p>
        </w:tc>
        <w:tc>
          <w:tcPr>
            <w:tcW w:w="851" w:type="dxa"/>
            <w:tcBorders>
              <w:top w:val="nil"/>
              <w:left w:val="single" w:sz="4" w:space="0" w:color="auto"/>
              <w:bottom w:val="single" w:sz="12" w:space="0" w:color="auto"/>
              <w:right w:val="nil"/>
            </w:tcBorders>
            <w:vAlign w:val="center"/>
          </w:tcPr>
          <w:p w:rsidR="001A5005" w:rsidRPr="00CF58A2" w:rsidRDefault="001A5005" w:rsidP="001A5005">
            <w:pPr>
              <w:jc w:val="center"/>
              <w:rPr>
                <w:rFonts w:ascii="Times New Roman" w:eastAsia="等线" w:hAnsi="Times New Roman" w:cs="Times New Roman"/>
                <w:color w:val="000000"/>
                <w:sz w:val="18"/>
                <w:szCs w:val="18"/>
                <w:highlight w:val="cyan"/>
              </w:rPr>
            </w:pPr>
            <w:r w:rsidRPr="00CF58A2">
              <w:rPr>
                <w:rFonts w:ascii="Times New Roman" w:eastAsia="等线" w:hAnsi="Times New Roman" w:cs="Times New Roman"/>
                <w:color w:val="000000"/>
                <w:sz w:val="18"/>
                <w:szCs w:val="18"/>
                <w:highlight w:val="cyan"/>
              </w:rPr>
              <w:t>0.4851</w:t>
            </w:r>
          </w:p>
        </w:tc>
      </w:tr>
    </w:tbl>
    <w:p w:rsidR="009D1417" w:rsidRPr="009D1417" w:rsidRDefault="00321F51" w:rsidP="00321F51">
      <w:pPr>
        <w:ind w:firstLineChars="200" w:firstLine="360"/>
      </w:pPr>
      <w:r w:rsidRPr="00321F51">
        <w:rPr>
          <w:rFonts w:ascii="Times New Roman" w:eastAsia="宋体" w:hAnsi="Times New Roman" w:cs="Times New Roman" w:hint="eastAsia"/>
          <w:color w:val="000000"/>
          <w:sz w:val="18"/>
          <w:szCs w:val="18"/>
        </w:rPr>
        <w:t>注：</w:t>
      </w:r>
      <w:r w:rsidRPr="00321F51">
        <w:rPr>
          <w:rFonts w:ascii="Times New Roman" w:eastAsia="宋体" w:hAnsi="Times New Roman" w:cs="Times New Roman"/>
          <w:color w:val="000000"/>
          <w:position w:val="-6"/>
        </w:rPr>
        <w:object w:dxaOrig="680" w:dyaOrig="240">
          <v:shape id="_x0000_i1048" type="#_x0000_t75" style="width:32.85pt;height:11.6pt" o:ole="">
            <v:imagedata r:id="rId52" o:title=""/>
          </v:shape>
          <o:OLEObject Type="Embed" ProgID="Equation.DSMT4" ShapeID="_x0000_i1048" DrawAspect="Content" ObjectID="_1705597637" r:id="rId53"/>
        </w:object>
      </w:r>
      <w:r w:rsidRPr="00321F51">
        <w:rPr>
          <w:rFonts w:ascii="宋体" w:eastAsia="宋体" w:hAnsi="宋体" w:cs="Times New Roman" w:hint="eastAsia"/>
          <w:noProof/>
          <w:color w:val="000000"/>
          <w:sz w:val="18"/>
          <w:szCs w:val="18"/>
        </w:rPr>
        <w:t>、</w:t>
      </w:r>
      <w:r w:rsidRPr="00321F51">
        <w:rPr>
          <w:rFonts w:ascii="Times New Roman" w:eastAsia="宋体" w:hAnsi="Times New Roman" w:cs="Times New Roman"/>
          <w:color w:val="000000"/>
          <w:position w:val="-8"/>
        </w:rPr>
        <w:object w:dxaOrig="960" w:dyaOrig="260">
          <v:shape id="_x0000_i1049" type="#_x0000_t75" style="width:47.9pt;height:13.15pt" o:ole="">
            <v:imagedata r:id="rId54" o:title=""/>
          </v:shape>
          <o:OLEObject Type="Embed" ProgID="Equation.DSMT4" ShapeID="_x0000_i1049" DrawAspect="Content" ObjectID="_1705597638" r:id="rId55"/>
        </w:object>
      </w:r>
      <w:r w:rsidRPr="00321F51">
        <w:rPr>
          <w:rFonts w:ascii="宋体" w:eastAsia="宋体" w:hAnsi="宋体" w:cs="Times New Roman" w:hint="eastAsia"/>
          <w:noProof/>
          <w:color w:val="000000"/>
          <w:sz w:val="18"/>
          <w:szCs w:val="18"/>
        </w:rPr>
        <w:t>、</w:t>
      </w:r>
      <w:r w:rsidRPr="00321F51">
        <w:rPr>
          <w:rFonts w:ascii="Times New Roman" w:eastAsia="宋体" w:hAnsi="Times New Roman" w:cs="Times New Roman"/>
          <w:color w:val="000000"/>
          <w:position w:val="-8"/>
        </w:rPr>
        <w:object w:dxaOrig="700" w:dyaOrig="240">
          <v:shape id="_x0000_i1050" type="#_x0000_t75" style="width:35.05pt;height:11.6pt" o:ole="">
            <v:imagedata r:id="rId56" o:title=""/>
          </v:shape>
          <o:OLEObject Type="Embed" ProgID="Equation.DSMT4" ShapeID="_x0000_i1050" DrawAspect="Content" ObjectID="_1705597639" r:id="rId57"/>
        </w:object>
      </w:r>
      <w:r w:rsidRPr="00321F51">
        <w:rPr>
          <w:rFonts w:ascii="宋体" w:eastAsia="宋体" w:hAnsi="宋体" w:cs="Times New Roman" w:hint="eastAsia"/>
          <w:noProof/>
          <w:color w:val="000000"/>
          <w:sz w:val="18"/>
          <w:szCs w:val="18"/>
        </w:rPr>
        <w:t>三个</w:t>
      </w:r>
      <w:r w:rsidRPr="00321F51">
        <w:rPr>
          <w:rFonts w:ascii="Times New Roman" w:eastAsia="宋体" w:hAnsi="Times New Roman" w:cs="Times New Roman" w:hint="eastAsia"/>
          <w:color w:val="000000"/>
          <w:sz w:val="18"/>
          <w:szCs w:val="18"/>
        </w:rPr>
        <w:t>供给绩效指标已进行价格平减，基期年份为</w:t>
      </w:r>
      <w:r w:rsidRPr="00321F51">
        <w:rPr>
          <w:rFonts w:ascii="Times New Roman" w:eastAsia="宋体" w:hAnsi="Times New Roman" w:cs="Times New Roman"/>
          <w:color w:val="000000"/>
          <w:sz w:val="18"/>
          <w:szCs w:val="18"/>
        </w:rPr>
        <w:t>2016</w:t>
      </w:r>
      <w:r w:rsidRPr="00321F51">
        <w:rPr>
          <w:rFonts w:ascii="Times New Roman" w:eastAsia="宋体" w:hAnsi="Times New Roman" w:cs="Times New Roman"/>
          <w:color w:val="000000"/>
          <w:sz w:val="18"/>
          <w:szCs w:val="18"/>
        </w:rPr>
        <w:t>年</w:t>
      </w:r>
      <w:r w:rsidRPr="00321F51">
        <w:rPr>
          <w:rFonts w:ascii="Times New Roman" w:eastAsia="宋体" w:hAnsi="Times New Roman" w:cs="Times New Roman" w:hint="eastAsia"/>
          <w:color w:val="000000"/>
          <w:sz w:val="18"/>
          <w:szCs w:val="18"/>
        </w:rPr>
        <w:t>。其中，“</w:t>
      </w:r>
      <w:r w:rsidRPr="00321F51">
        <w:rPr>
          <w:rFonts w:ascii="Times New Roman" w:eastAsia="宋体" w:hAnsi="Times New Roman" w:cs="Times New Roman" w:hint="eastAsia"/>
          <w:color w:val="000000"/>
          <w:kern w:val="0"/>
          <w:sz w:val="18"/>
          <w:szCs w:val="18"/>
        </w:rPr>
        <w:t>机器设备”</w:t>
      </w:r>
      <w:r w:rsidRPr="00321F51">
        <w:rPr>
          <w:rFonts w:ascii="Times New Roman" w:eastAsia="宋体" w:hAnsi="Times New Roman" w:cs="Times New Roman" w:hint="eastAsia"/>
          <w:color w:val="000000"/>
          <w:sz w:val="18"/>
          <w:szCs w:val="18"/>
        </w:rPr>
        <w:t>按照《中国统计年鉴》中的“设备工器具购置”价格指数进行平减；“</w:t>
      </w:r>
      <w:r w:rsidRPr="00321F51">
        <w:rPr>
          <w:rFonts w:ascii="Times New Roman" w:eastAsia="宋体" w:hAnsi="Times New Roman" w:cs="Times New Roman"/>
          <w:color w:val="000000"/>
          <w:kern w:val="0"/>
          <w:sz w:val="18"/>
          <w:szCs w:val="18"/>
        </w:rPr>
        <w:t>厂房建筑</w:t>
      </w:r>
      <w:r w:rsidRPr="00321F51">
        <w:rPr>
          <w:rFonts w:ascii="Times New Roman" w:eastAsia="宋体" w:hAnsi="Times New Roman" w:cs="Times New Roman" w:hint="eastAsia"/>
          <w:color w:val="000000"/>
          <w:kern w:val="0"/>
          <w:sz w:val="18"/>
          <w:szCs w:val="18"/>
        </w:rPr>
        <w:t>”和“</w:t>
      </w:r>
      <w:r w:rsidRPr="00321F51">
        <w:rPr>
          <w:rFonts w:ascii="Times New Roman" w:eastAsia="宋体" w:hAnsi="Times New Roman" w:cs="Times New Roman"/>
          <w:color w:val="000000"/>
          <w:kern w:val="0"/>
          <w:sz w:val="18"/>
          <w:szCs w:val="18"/>
        </w:rPr>
        <w:t>小农水及配套机电装备</w:t>
      </w:r>
      <w:r w:rsidRPr="00321F51">
        <w:rPr>
          <w:rFonts w:ascii="Times New Roman" w:eastAsia="宋体" w:hAnsi="Times New Roman" w:cs="Times New Roman" w:hint="eastAsia"/>
          <w:color w:val="000000"/>
          <w:kern w:val="0"/>
          <w:sz w:val="18"/>
          <w:szCs w:val="18"/>
        </w:rPr>
        <w:t>”</w:t>
      </w:r>
      <w:r w:rsidRPr="00321F51">
        <w:rPr>
          <w:rFonts w:ascii="Times New Roman" w:eastAsia="宋体" w:hAnsi="Times New Roman" w:cs="Times New Roman" w:hint="eastAsia"/>
          <w:color w:val="000000"/>
          <w:sz w:val="18"/>
          <w:szCs w:val="18"/>
        </w:rPr>
        <w:t>按照《中国统计年鉴》中的“建筑安装工程”价格指数进行平减；“村办企业”按照《中国统计年鉴》中的“固定资产投</w:t>
      </w:r>
      <w:r w:rsidRPr="00321F51">
        <w:rPr>
          <w:rFonts w:ascii="Times New Roman" w:eastAsia="宋体" w:hAnsi="Times New Roman" w:cs="Times New Roman"/>
          <w:color w:val="000000"/>
          <w:sz w:val="18"/>
          <w:szCs w:val="18"/>
        </w:rPr>
        <w:t>资</w:t>
      </w:r>
      <w:r w:rsidRPr="00321F51">
        <w:rPr>
          <w:rFonts w:ascii="Times New Roman" w:eastAsia="宋体" w:hAnsi="Times New Roman" w:cs="Times New Roman" w:hint="eastAsia"/>
          <w:color w:val="000000"/>
          <w:sz w:val="18"/>
          <w:szCs w:val="18"/>
        </w:rPr>
        <w:t>”价格指数进行平减。</w:t>
      </w:r>
    </w:p>
    <w:sectPr w:rsidR="009D1417" w:rsidRPr="009D14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363" w:rsidRDefault="00DD5363" w:rsidP="00055AF3">
      <w:r>
        <w:separator/>
      </w:r>
    </w:p>
  </w:endnote>
  <w:endnote w:type="continuationSeparator" w:id="0">
    <w:p w:rsidR="00DD5363" w:rsidRDefault="00DD5363" w:rsidP="00055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363" w:rsidRDefault="00DD5363" w:rsidP="00055AF3">
      <w:r>
        <w:separator/>
      </w:r>
    </w:p>
  </w:footnote>
  <w:footnote w:type="continuationSeparator" w:id="0">
    <w:p w:rsidR="00DD5363" w:rsidRDefault="00DD5363" w:rsidP="00055A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F9"/>
    <w:rsid w:val="00020CF9"/>
    <w:rsid w:val="00041601"/>
    <w:rsid w:val="00055AF3"/>
    <w:rsid w:val="0017639E"/>
    <w:rsid w:val="001A5005"/>
    <w:rsid w:val="001A607F"/>
    <w:rsid w:val="00321F51"/>
    <w:rsid w:val="00451DB3"/>
    <w:rsid w:val="00597379"/>
    <w:rsid w:val="00904866"/>
    <w:rsid w:val="00966D34"/>
    <w:rsid w:val="009D1417"/>
    <w:rsid w:val="009E05A0"/>
    <w:rsid w:val="009F56FF"/>
    <w:rsid w:val="00A02BC6"/>
    <w:rsid w:val="00A77CC5"/>
    <w:rsid w:val="00C9241F"/>
    <w:rsid w:val="00CF58A2"/>
    <w:rsid w:val="00DD5363"/>
    <w:rsid w:val="00DF2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53120"/>
  <w15:chartTrackingRefBased/>
  <w15:docId w15:val="{B1BB931E-E11D-44E6-AFF9-9D6767F0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A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AF3"/>
    <w:rPr>
      <w:sz w:val="18"/>
      <w:szCs w:val="18"/>
    </w:rPr>
  </w:style>
  <w:style w:type="paragraph" w:styleId="a5">
    <w:name w:val="footer"/>
    <w:basedOn w:val="a"/>
    <w:link w:val="a6"/>
    <w:uiPriority w:val="99"/>
    <w:unhideWhenUsed/>
    <w:rsid w:val="00055AF3"/>
    <w:pPr>
      <w:tabs>
        <w:tab w:val="center" w:pos="4153"/>
        <w:tab w:val="right" w:pos="8306"/>
      </w:tabs>
      <w:snapToGrid w:val="0"/>
      <w:jc w:val="left"/>
    </w:pPr>
    <w:rPr>
      <w:sz w:val="18"/>
      <w:szCs w:val="18"/>
    </w:rPr>
  </w:style>
  <w:style w:type="character" w:customStyle="1" w:styleId="a6">
    <w:name w:val="页脚 字符"/>
    <w:basedOn w:val="a0"/>
    <w:link w:val="a5"/>
    <w:uiPriority w:val="99"/>
    <w:rsid w:val="00055A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p:lastModifiedBy>
  <cp:revision>8</cp:revision>
  <dcterms:created xsi:type="dcterms:W3CDTF">2021-01-02T05:22:00Z</dcterms:created>
  <dcterms:modified xsi:type="dcterms:W3CDTF">2022-02-05T12:13:00Z</dcterms:modified>
</cp:coreProperties>
</file>