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EF610" w14:textId="2D19F713" w:rsidR="00EB40F2" w:rsidRPr="00182B2D" w:rsidRDefault="0032164E" w:rsidP="007E52BA">
      <w:pPr>
        <w:spacing w:line="276" w:lineRule="auto"/>
        <w:contextualSpacing/>
        <w:jc w:val="both"/>
        <w:rPr>
          <w:rFonts w:ascii="Arial" w:hAnsi="Arial" w:cs="Arial"/>
          <w:b/>
          <w:bCs/>
        </w:rPr>
      </w:pPr>
      <w:r w:rsidRPr="00182B2D">
        <w:rPr>
          <w:rFonts w:ascii="Arial" w:hAnsi="Arial" w:cs="Arial"/>
          <w:b/>
          <w:bCs/>
        </w:rPr>
        <w:t>Tutorial – Internal Rate of Return</w:t>
      </w:r>
    </w:p>
    <w:p w14:paraId="1547606A" w14:textId="2A7ADC2D" w:rsidR="00366A97" w:rsidRPr="00182B2D" w:rsidRDefault="00366A97" w:rsidP="00182B2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82B2D">
        <w:rPr>
          <w:rFonts w:ascii="Arial" w:hAnsi="Arial" w:cs="Arial"/>
        </w:rPr>
        <w:t xml:space="preserve">Calculate the internal rate of return for the Trattoria Project. </w:t>
      </w:r>
      <w:r w:rsidR="0032164E" w:rsidRPr="00182B2D">
        <w:rPr>
          <w:rFonts w:ascii="Arial" w:hAnsi="Arial" w:cs="Arial"/>
        </w:rPr>
        <w:t>Try discount rates of 0 and 10% as your two ‘guesses’.</w:t>
      </w:r>
    </w:p>
    <w:p w14:paraId="64FD314B" w14:textId="458D7ECD" w:rsidR="00170E76" w:rsidRPr="00182B2D" w:rsidRDefault="00170E76" w:rsidP="00170E76">
      <w:pPr>
        <w:spacing w:line="276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</w:tblGrid>
      <w:tr w:rsidR="00170E76" w:rsidRPr="00182B2D" w14:paraId="581959A1" w14:textId="77777777" w:rsidTr="00B5418B">
        <w:trPr>
          <w:jc w:val="center"/>
        </w:trPr>
        <w:tc>
          <w:tcPr>
            <w:tcW w:w="1134" w:type="dxa"/>
          </w:tcPr>
          <w:p w14:paraId="0C3B9A70" w14:textId="75C70FC2" w:rsidR="00170E76" w:rsidRPr="00182B2D" w:rsidRDefault="00170E76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Time</w:t>
            </w:r>
          </w:p>
        </w:tc>
        <w:tc>
          <w:tcPr>
            <w:tcW w:w="1701" w:type="dxa"/>
          </w:tcPr>
          <w:p w14:paraId="65A0779B" w14:textId="34D42125" w:rsidR="00170E76" w:rsidRPr="00182B2D" w:rsidRDefault="00170E76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CF (1,000)</w:t>
            </w:r>
          </w:p>
        </w:tc>
      </w:tr>
      <w:tr w:rsidR="00170E76" w:rsidRPr="00182B2D" w14:paraId="2CCB61FF" w14:textId="77777777" w:rsidTr="00B5418B">
        <w:trPr>
          <w:jc w:val="center"/>
        </w:trPr>
        <w:tc>
          <w:tcPr>
            <w:tcW w:w="1134" w:type="dxa"/>
          </w:tcPr>
          <w:p w14:paraId="5F90485B" w14:textId="7D34F36F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0</w:t>
            </w:r>
          </w:p>
        </w:tc>
        <w:tc>
          <w:tcPr>
            <w:tcW w:w="1701" w:type="dxa"/>
          </w:tcPr>
          <w:p w14:paraId="3D34C737" w14:textId="42DF6460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-200</w:t>
            </w:r>
          </w:p>
        </w:tc>
      </w:tr>
      <w:tr w:rsidR="00170E76" w:rsidRPr="00182B2D" w14:paraId="4228C779" w14:textId="77777777" w:rsidTr="00B5418B">
        <w:trPr>
          <w:jc w:val="center"/>
        </w:trPr>
        <w:tc>
          <w:tcPr>
            <w:tcW w:w="1134" w:type="dxa"/>
          </w:tcPr>
          <w:p w14:paraId="117B4563" w14:textId="736BD6B7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</w:tcPr>
          <w:p w14:paraId="4121A0F6" w14:textId="0A2B82C6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50</w:t>
            </w:r>
          </w:p>
        </w:tc>
      </w:tr>
      <w:tr w:rsidR="00170E76" w:rsidRPr="00182B2D" w14:paraId="31300D0E" w14:textId="77777777" w:rsidTr="00B5418B">
        <w:trPr>
          <w:jc w:val="center"/>
        </w:trPr>
        <w:tc>
          <w:tcPr>
            <w:tcW w:w="1134" w:type="dxa"/>
          </w:tcPr>
          <w:p w14:paraId="31793916" w14:textId="0B19322E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</w:tcPr>
          <w:p w14:paraId="128FC973" w14:textId="5FD19904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50</w:t>
            </w:r>
          </w:p>
        </w:tc>
      </w:tr>
      <w:tr w:rsidR="00170E76" w:rsidRPr="00182B2D" w14:paraId="642E7BFC" w14:textId="77777777" w:rsidTr="00B5418B">
        <w:trPr>
          <w:jc w:val="center"/>
        </w:trPr>
        <w:tc>
          <w:tcPr>
            <w:tcW w:w="1134" w:type="dxa"/>
          </w:tcPr>
          <w:p w14:paraId="1B71A87B" w14:textId="60A6C063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</w:tcPr>
          <w:p w14:paraId="72593AB7" w14:textId="11C35231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50</w:t>
            </w:r>
          </w:p>
        </w:tc>
      </w:tr>
      <w:tr w:rsidR="00170E76" w:rsidRPr="00182B2D" w14:paraId="33D68F9C" w14:textId="77777777" w:rsidTr="00B5418B">
        <w:trPr>
          <w:jc w:val="center"/>
        </w:trPr>
        <w:tc>
          <w:tcPr>
            <w:tcW w:w="1134" w:type="dxa"/>
          </w:tcPr>
          <w:p w14:paraId="665755FA" w14:textId="782F8036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4</w:t>
            </w:r>
          </w:p>
        </w:tc>
        <w:tc>
          <w:tcPr>
            <w:tcW w:w="1701" w:type="dxa"/>
          </w:tcPr>
          <w:p w14:paraId="3F8A3315" w14:textId="41A9F6A7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50</w:t>
            </w:r>
          </w:p>
        </w:tc>
      </w:tr>
      <w:tr w:rsidR="00170E76" w:rsidRPr="00182B2D" w14:paraId="79B1D4AE" w14:textId="77777777" w:rsidTr="00B5418B">
        <w:trPr>
          <w:jc w:val="center"/>
        </w:trPr>
        <w:tc>
          <w:tcPr>
            <w:tcW w:w="1134" w:type="dxa"/>
          </w:tcPr>
          <w:p w14:paraId="49502B7D" w14:textId="5156872F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5</w:t>
            </w:r>
          </w:p>
        </w:tc>
        <w:tc>
          <w:tcPr>
            <w:tcW w:w="1701" w:type="dxa"/>
          </w:tcPr>
          <w:p w14:paraId="23A12FC1" w14:textId="27AEEFDF" w:rsidR="00170E76" w:rsidRPr="00182B2D" w:rsidRDefault="00B5418B" w:rsidP="00B541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82B2D">
              <w:rPr>
                <w:rFonts w:ascii="Arial" w:hAnsi="Arial" w:cs="Arial"/>
              </w:rPr>
              <w:t>50</w:t>
            </w:r>
          </w:p>
        </w:tc>
      </w:tr>
    </w:tbl>
    <w:p w14:paraId="294EC1F1" w14:textId="77777777" w:rsid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52B9BEE9" w14:textId="77777777" w:rsidR="00665E83" w:rsidRDefault="00665E83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49BE4AC6" w14:textId="471D8666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182B2D">
        <w:rPr>
          <w:rFonts w:ascii="Arial" w:hAnsi="Arial" w:cs="Arial"/>
        </w:rPr>
        <w:t>I invest £100 now and receive £110 in a year’s time and £121 in 2 years.</w:t>
      </w:r>
    </w:p>
    <w:p w14:paraId="24475BA2" w14:textId="77777777" w:rsid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 w:rsidRPr="00182B2D">
        <w:rPr>
          <w:rFonts w:ascii="Arial" w:hAnsi="Arial" w:cs="Arial"/>
        </w:rPr>
        <w:t>a) What is the NPV of this scheme at 10%?</w:t>
      </w:r>
    </w:p>
    <w:p w14:paraId="20ADC06B" w14:textId="77777777" w:rsidR="00665E83" w:rsidRDefault="00665E83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60931730" w14:textId="02A1C9EC" w:rsidR="00182B2D" w:rsidRPr="00665E83" w:rsidRDefault="00665E83" w:rsidP="00182B2D">
      <w:pPr>
        <w:spacing w:line="480" w:lineRule="auto"/>
        <w:rPr>
          <w:rFonts w:ascii="Times New Roman" w:hAnsi="Times New Roman"/>
          <w:b/>
          <w:i/>
          <w:color w:val="FF0000"/>
        </w:rPr>
      </w:pPr>
      <w:r w:rsidRPr="00416204">
        <w:rPr>
          <w:rFonts w:ascii="Times New Roman" w:hAnsi="Times New Roman"/>
          <w:b/>
          <w:i/>
          <w:color w:val="FF0000"/>
        </w:rPr>
        <w:t>We might guess from the example in the chapter. We know that at 10%, the present value of £110 receivable in one year = £100, while the present value of £121 receivable in two years = £100. Therefore the NPV = £100+£100-£100 = £10</w:t>
      </w:r>
    </w:p>
    <w:p w14:paraId="5E67865E" w14:textId="77777777" w:rsid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 w:rsidRPr="00182B2D">
        <w:rPr>
          <w:rFonts w:ascii="Arial" w:hAnsi="Arial" w:cs="Arial"/>
        </w:rPr>
        <w:t>b) What is the NPV at 20%?</w:t>
      </w:r>
    </w:p>
    <w:p w14:paraId="7F9F6B8C" w14:textId="77777777" w:rsid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47B2AA2D" w14:textId="77777777" w:rsidR="00665E83" w:rsidRPr="00416204" w:rsidRDefault="00665E83" w:rsidP="00665E83">
      <w:pPr>
        <w:spacing w:line="480" w:lineRule="auto"/>
        <w:rPr>
          <w:rFonts w:ascii="Times New Roman" w:hAnsi="Times New Roman"/>
          <w:b/>
          <w:i/>
          <w:color w:val="FF0000"/>
        </w:rPr>
      </w:pPr>
      <w:r w:rsidRPr="00416204">
        <w:rPr>
          <w:rFonts w:ascii="Times New Roman" w:hAnsi="Times New Roman"/>
          <w:b/>
          <w:i/>
          <w:color w:val="FF0000"/>
        </w:rPr>
        <w:t>NPV = £121/1</w:t>
      </w:r>
      <w:r>
        <w:rPr>
          <w:rFonts w:ascii="Times New Roman" w:hAnsi="Times New Roman"/>
          <w:b/>
          <w:i/>
          <w:color w:val="FF0000"/>
        </w:rPr>
        <w:t>.2</w:t>
      </w:r>
      <w:r w:rsidRPr="00416204">
        <w:rPr>
          <w:rFonts w:ascii="Times New Roman" w:hAnsi="Times New Roman"/>
          <w:b/>
          <w:i/>
          <w:color w:val="FF0000"/>
          <w:vertAlign w:val="superscript"/>
        </w:rPr>
        <w:t>2</w:t>
      </w:r>
      <w:r w:rsidRPr="00416204">
        <w:rPr>
          <w:rFonts w:ascii="Times New Roman" w:hAnsi="Times New Roman"/>
          <w:b/>
          <w:i/>
          <w:color w:val="FF0000"/>
        </w:rPr>
        <w:t xml:space="preserve"> + £110/1.</w:t>
      </w:r>
      <w:r>
        <w:rPr>
          <w:rFonts w:ascii="Times New Roman" w:hAnsi="Times New Roman"/>
          <w:b/>
          <w:i/>
          <w:color w:val="FF0000"/>
        </w:rPr>
        <w:t>2</w:t>
      </w:r>
      <w:r w:rsidRPr="00416204">
        <w:rPr>
          <w:rFonts w:ascii="Times New Roman" w:hAnsi="Times New Roman"/>
          <w:b/>
          <w:i/>
          <w:color w:val="FF0000"/>
        </w:rPr>
        <w:t xml:space="preserve"> - £100 = 84 + 91.67 -100 = 75.69</w:t>
      </w:r>
    </w:p>
    <w:p w14:paraId="1571BED5" w14:textId="77777777" w:rsidR="00665E83" w:rsidRDefault="00665E83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1FDB5B8B" w14:textId="2BAEBB0A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0B2CA2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, </w:t>
      </w:r>
      <w:r w:rsidRPr="00182B2D">
        <w:rPr>
          <w:rFonts w:ascii="Arial" w:hAnsi="Arial" w:cs="Arial"/>
        </w:rPr>
        <w:t>Describe in one sentence how to find the internal rate of return.</w:t>
      </w:r>
    </w:p>
    <w:p w14:paraId="35C7A6BA" w14:textId="77777777" w:rsidR="00665E83" w:rsidRPr="00416204" w:rsidRDefault="00665E83" w:rsidP="00665E83">
      <w:pPr>
        <w:autoSpaceDE w:val="0"/>
        <w:autoSpaceDN w:val="0"/>
        <w:adjustRightInd w:val="0"/>
        <w:rPr>
          <w:rFonts w:ascii="Times New Roman" w:hAnsi="Times New Roman"/>
          <w:color w:val="FF0000"/>
        </w:rPr>
      </w:pPr>
      <w:r w:rsidRPr="00416204">
        <w:rPr>
          <w:rFonts w:ascii="Times New Roman" w:hAnsi="Times New Roman"/>
          <w:b/>
          <w:i/>
          <w:color w:val="FF0000"/>
        </w:rPr>
        <w:t>The IRR is the rate of return which makes the present value equal to zero.</w:t>
      </w:r>
    </w:p>
    <w:p w14:paraId="3D53B877" w14:textId="77777777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4FD88652" w14:textId="52C1AC2B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Pr="00182B2D">
        <w:rPr>
          <w:rFonts w:ascii="Arial" w:hAnsi="Arial" w:cs="Arial"/>
        </w:rPr>
        <w:t>Find the internal rate of return for the data given in Q4. Hint – try 75% and 80%.</w:t>
      </w:r>
    </w:p>
    <w:p w14:paraId="45AA5FB1" w14:textId="77777777" w:rsidR="00665E83" w:rsidRPr="00416204" w:rsidRDefault="00665E83" w:rsidP="00665E83">
      <w:pPr>
        <w:pStyle w:val="ListParagraph"/>
        <w:spacing w:line="480" w:lineRule="auto"/>
        <w:ind w:left="426"/>
        <w:rPr>
          <w:rFonts w:ascii="Times New Roman" w:hAnsi="Times New Roman"/>
          <w:b/>
          <w:i/>
          <w:color w:val="FF0000"/>
        </w:rPr>
      </w:pPr>
      <w:r w:rsidRPr="00416204">
        <w:rPr>
          <w:rFonts w:ascii="Times New Roman" w:hAnsi="Times New Roman"/>
          <w:b/>
          <w:i/>
          <w:color w:val="FF0000"/>
        </w:rPr>
        <w:t>The line</w:t>
      </w:r>
      <w:r>
        <w:rPr>
          <w:rFonts w:ascii="Times New Roman" w:hAnsi="Times New Roman"/>
          <w:b/>
          <w:i/>
          <w:color w:val="FF0000"/>
        </w:rPr>
        <w:t>ar interpolation solution for 75</w:t>
      </w:r>
      <w:r w:rsidRPr="00416204">
        <w:rPr>
          <w:rFonts w:ascii="Times New Roman" w:hAnsi="Times New Roman"/>
          <w:b/>
          <w:i/>
          <w:color w:val="FF0000"/>
        </w:rPr>
        <w:t>% and 80% is as follows;</w:t>
      </w:r>
    </w:p>
    <w:p w14:paraId="3425E191" w14:textId="77777777" w:rsidR="00665E83" w:rsidRPr="00416204" w:rsidRDefault="00665E83" w:rsidP="00665E83">
      <w:pPr>
        <w:pStyle w:val="ListParagraph"/>
        <w:spacing w:line="480" w:lineRule="auto"/>
        <w:ind w:left="426"/>
        <w:rPr>
          <w:rFonts w:ascii="Times New Roman" w:hAnsi="Times New Roman"/>
          <w:b/>
          <w:i/>
        </w:rPr>
      </w:pPr>
    </w:p>
    <w:p w14:paraId="2C4B5078" w14:textId="77777777" w:rsidR="00665E83" w:rsidRPr="00416204" w:rsidRDefault="00665E83" w:rsidP="00665E83">
      <w:pPr>
        <w:pStyle w:val="ListParagraph"/>
        <w:spacing w:line="480" w:lineRule="auto"/>
        <w:ind w:left="426"/>
        <w:rPr>
          <w:rFonts w:ascii="Times New Roman" w:hAnsi="Times New Roman"/>
          <w:b/>
          <w:i/>
        </w:rPr>
      </w:pPr>
      <w:r>
        <w:rPr>
          <w:lang w:eastAsia="en-GB"/>
        </w:rPr>
        <w:lastRenderedPageBreak/>
        <w:drawing>
          <wp:inline distT="0" distB="0" distL="0" distR="0" wp14:anchorId="605AC86F" wp14:editId="15C8370C">
            <wp:extent cx="5731510" cy="3223895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D081" w14:textId="77777777" w:rsid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60BA0A0F" w14:textId="77777777" w:rsidR="00665E83" w:rsidRPr="00182B2D" w:rsidRDefault="00665E83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343CC11A" w14:textId="44809321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Pr="00182B2D">
        <w:rPr>
          <w:rFonts w:ascii="Arial" w:hAnsi="Arial" w:cs="Arial"/>
        </w:rPr>
        <w:t>Describe some of the advantages and disadvantages of payback.</w:t>
      </w:r>
    </w:p>
    <w:p w14:paraId="064528F9" w14:textId="77777777" w:rsidR="00665E83" w:rsidRPr="00416204" w:rsidRDefault="00665E83" w:rsidP="00665E83">
      <w:pPr>
        <w:spacing w:line="480" w:lineRule="auto"/>
        <w:ind w:left="426"/>
        <w:rPr>
          <w:rFonts w:ascii="Times New Roman" w:hAnsi="Times New Roman"/>
          <w:color w:val="FF0000"/>
        </w:rPr>
      </w:pPr>
      <w:r w:rsidRPr="00416204">
        <w:rPr>
          <w:rFonts w:ascii="Times New Roman" w:hAnsi="Times New Roman"/>
          <w:b/>
          <w:bCs/>
          <w:color w:val="FF0000"/>
        </w:rPr>
        <w:t>Advantages</w:t>
      </w:r>
    </w:p>
    <w:p w14:paraId="26418B43" w14:textId="77777777" w:rsidR="00665E83" w:rsidRPr="00416204" w:rsidRDefault="00665E83" w:rsidP="00665E83">
      <w:pPr>
        <w:spacing w:line="480" w:lineRule="auto"/>
        <w:ind w:left="786"/>
        <w:rPr>
          <w:rFonts w:ascii="Times New Roman" w:hAnsi="Times New Roman"/>
          <w:color w:val="FF0000"/>
        </w:rPr>
      </w:pPr>
      <w:r w:rsidRPr="00416204">
        <w:rPr>
          <w:rFonts w:ascii="Times New Roman" w:hAnsi="Times New Roman"/>
          <w:color w:val="FF0000"/>
        </w:rPr>
        <w:t xml:space="preserve"> – simple and straightforward</w:t>
      </w:r>
    </w:p>
    <w:p w14:paraId="3B8842A9" w14:textId="77777777" w:rsidR="00665E83" w:rsidRPr="00416204" w:rsidRDefault="00665E83" w:rsidP="00665E83">
      <w:pPr>
        <w:spacing w:line="480" w:lineRule="auto"/>
        <w:ind w:left="786"/>
        <w:rPr>
          <w:rFonts w:ascii="Times New Roman" w:hAnsi="Times New Roman"/>
          <w:color w:val="FF0000"/>
        </w:rPr>
      </w:pPr>
      <w:r w:rsidRPr="00416204">
        <w:rPr>
          <w:rFonts w:ascii="Times New Roman" w:hAnsi="Times New Roman"/>
          <w:color w:val="FF0000"/>
        </w:rPr>
        <w:t xml:space="preserve"> - emphasises early recovery of investment funds. May help in resolving large amounts of uncertainty</w:t>
      </w:r>
    </w:p>
    <w:p w14:paraId="75722582" w14:textId="77777777" w:rsidR="00665E83" w:rsidRPr="00416204" w:rsidRDefault="00665E83" w:rsidP="00665E83">
      <w:pPr>
        <w:spacing w:line="480" w:lineRule="auto"/>
        <w:ind w:left="786"/>
        <w:rPr>
          <w:rFonts w:ascii="Times New Roman" w:hAnsi="Times New Roman"/>
          <w:color w:val="FF0000"/>
        </w:rPr>
      </w:pPr>
      <w:r w:rsidRPr="00416204">
        <w:rPr>
          <w:rFonts w:ascii="Times New Roman" w:hAnsi="Times New Roman"/>
          <w:b/>
          <w:bCs/>
          <w:color w:val="FF0000"/>
        </w:rPr>
        <w:t>Disadvantages</w:t>
      </w:r>
    </w:p>
    <w:p w14:paraId="3715DD72" w14:textId="77777777" w:rsidR="00665E83" w:rsidRPr="00416204" w:rsidRDefault="00665E83" w:rsidP="00665E83">
      <w:pPr>
        <w:spacing w:line="480" w:lineRule="auto"/>
        <w:ind w:firstLine="426"/>
        <w:rPr>
          <w:rFonts w:ascii="Times New Roman" w:hAnsi="Times New Roman"/>
          <w:color w:val="FF0000"/>
        </w:rPr>
      </w:pPr>
      <w:r w:rsidRPr="00416204">
        <w:rPr>
          <w:rFonts w:ascii="Times New Roman" w:hAnsi="Times New Roman"/>
          <w:color w:val="FF0000"/>
        </w:rPr>
        <w:t>- Simple payback does not use DCF, though payback can be calculated in terms of DCF</w:t>
      </w:r>
    </w:p>
    <w:p w14:paraId="5CDD2392" w14:textId="77777777" w:rsidR="00665E83" w:rsidRPr="00416204" w:rsidRDefault="00665E83" w:rsidP="00665E83">
      <w:pPr>
        <w:numPr>
          <w:ilvl w:val="0"/>
          <w:numId w:val="10"/>
        </w:numPr>
        <w:spacing w:line="480" w:lineRule="auto"/>
        <w:rPr>
          <w:rFonts w:ascii="Times New Roman" w:hAnsi="Times New Roman"/>
          <w:color w:val="FF0000"/>
        </w:rPr>
      </w:pPr>
      <w:r w:rsidRPr="00416204">
        <w:rPr>
          <w:rFonts w:ascii="Times New Roman" w:hAnsi="Times New Roman"/>
          <w:color w:val="FF0000"/>
        </w:rPr>
        <w:t>Cut off point is arbitrary - how does one decide what constitutes an acceptable payback period?</w:t>
      </w:r>
      <w:r w:rsidRPr="00416204">
        <w:rPr>
          <w:rFonts w:ascii="Times New Roman" w:hAnsi="Times New Roman"/>
          <w:color w:val="FF0000"/>
          <w:lang w:val="en-US"/>
        </w:rPr>
        <w:t xml:space="preserve"> </w:t>
      </w:r>
    </w:p>
    <w:p w14:paraId="19C8CCED" w14:textId="3644BC68" w:rsidR="00182B2D" w:rsidRPr="00665E83" w:rsidRDefault="00665E83" w:rsidP="00665E83">
      <w:pPr>
        <w:numPr>
          <w:ilvl w:val="0"/>
          <w:numId w:val="10"/>
        </w:numPr>
        <w:spacing w:line="480" w:lineRule="auto"/>
        <w:rPr>
          <w:rFonts w:ascii="Times New Roman" w:hAnsi="Times New Roman"/>
          <w:color w:val="FF0000"/>
        </w:rPr>
      </w:pPr>
      <w:r w:rsidRPr="00416204">
        <w:rPr>
          <w:rFonts w:ascii="Times New Roman" w:hAnsi="Times New Roman"/>
          <w:color w:val="FF0000"/>
        </w:rPr>
        <w:t>Payback may miss important cashflow occurring after payback period is ended.</w:t>
      </w:r>
      <w:r w:rsidRPr="00416204">
        <w:rPr>
          <w:rFonts w:ascii="Times New Roman" w:hAnsi="Times New Roman"/>
          <w:color w:val="FF0000"/>
          <w:lang w:val="en-US"/>
        </w:rPr>
        <w:t xml:space="preserve"> </w:t>
      </w:r>
    </w:p>
    <w:p w14:paraId="6B1A4DB1" w14:textId="77777777" w:rsidR="00665E83" w:rsidRPr="00182B2D" w:rsidRDefault="00665E83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476A68B4" w14:textId="61F2C063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Pr="00182B2D">
        <w:rPr>
          <w:rFonts w:ascii="Arial" w:hAnsi="Arial" w:cs="Arial"/>
        </w:rPr>
        <w:t>Compare and contrast accounting rate of return with internal rate of return.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506"/>
        <w:gridCol w:w="4504"/>
      </w:tblGrid>
      <w:tr w:rsidR="00665E83" w:rsidRPr="00416204" w14:paraId="20AC7FA1" w14:textId="77777777" w:rsidTr="00847FF6">
        <w:tc>
          <w:tcPr>
            <w:tcW w:w="4621" w:type="dxa"/>
          </w:tcPr>
          <w:p w14:paraId="533CC425" w14:textId="77777777" w:rsidR="00665E83" w:rsidRPr="00416204" w:rsidRDefault="00665E83" w:rsidP="00847FF6">
            <w:pPr>
              <w:rPr>
                <w:rFonts w:ascii="Times New Roman" w:hAnsi="Times New Roman"/>
                <w:b/>
                <w:color w:val="FF0000"/>
              </w:rPr>
            </w:pPr>
            <w:r w:rsidRPr="00416204">
              <w:rPr>
                <w:rFonts w:ascii="Times New Roman" w:hAnsi="Times New Roman"/>
                <w:b/>
                <w:color w:val="FF0000"/>
              </w:rPr>
              <w:t>ARR</w:t>
            </w:r>
          </w:p>
        </w:tc>
        <w:tc>
          <w:tcPr>
            <w:tcW w:w="4621" w:type="dxa"/>
          </w:tcPr>
          <w:p w14:paraId="5D3DA33F" w14:textId="77777777" w:rsidR="00665E83" w:rsidRPr="00416204" w:rsidRDefault="00665E83" w:rsidP="00847FF6">
            <w:pPr>
              <w:rPr>
                <w:rFonts w:ascii="Times New Roman" w:hAnsi="Times New Roman"/>
                <w:b/>
                <w:color w:val="FF0000"/>
              </w:rPr>
            </w:pPr>
            <w:r w:rsidRPr="00416204">
              <w:rPr>
                <w:rFonts w:ascii="Times New Roman" w:hAnsi="Times New Roman"/>
                <w:b/>
                <w:color w:val="FF0000"/>
              </w:rPr>
              <w:t>IRR</w:t>
            </w:r>
          </w:p>
        </w:tc>
      </w:tr>
      <w:tr w:rsidR="00665E83" w:rsidRPr="00416204" w14:paraId="06DA4E8F" w14:textId="77777777" w:rsidTr="00847FF6">
        <w:tc>
          <w:tcPr>
            <w:tcW w:w="4621" w:type="dxa"/>
          </w:tcPr>
          <w:p w14:paraId="14A911DE" w14:textId="77777777" w:rsidR="00665E83" w:rsidRPr="00416204" w:rsidRDefault="00665E83" w:rsidP="00847FF6">
            <w:pPr>
              <w:rPr>
                <w:rFonts w:ascii="Times New Roman" w:hAnsi="Times New Roman"/>
                <w:b/>
                <w:color w:val="FF0000"/>
              </w:rPr>
            </w:pPr>
            <w:r w:rsidRPr="00416204">
              <w:rPr>
                <w:rFonts w:ascii="Times New Roman" w:hAnsi="Times New Roman"/>
                <w:b/>
                <w:color w:val="FF0000"/>
              </w:rPr>
              <w:t>Widely used in Business</w:t>
            </w:r>
          </w:p>
        </w:tc>
        <w:tc>
          <w:tcPr>
            <w:tcW w:w="4621" w:type="dxa"/>
          </w:tcPr>
          <w:p w14:paraId="351F24FA" w14:textId="77777777" w:rsidR="00665E83" w:rsidRPr="00416204" w:rsidRDefault="00665E83" w:rsidP="00847FF6">
            <w:pPr>
              <w:rPr>
                <w:rFonts w:ascii="Times New Roman" w:hAnsi="Times New Roman"/>
                <w:b/>
                <w:color w:val="FF0000"/>
              </w:rPr>
            </w:pPr>
            <w:r w:rsidRPr="00416204">
              <w:rPr>
                <w:rFonts w:ascii="Times New Roman" w:hAnsi="Times New Roman"/>
                <w:b/>
                <w:color w:val="FF0000"/>
              </w:rPr>
              <w:t>Widely Used in Business</w:t>
            </w:r>
          </w:p>
        </w:tc>
      </w:tr>
      <w:tr w:rsidR="00665E83" w:rsidRPr="00416204" w14:paraId="2D6FCF16" w14:textId="77777777" w:rsidTr="00847FF6">
        <w:tc>
          <w:tcPr>
            <w:tcW w:w="4621" w:type="dxa"/>
          </w:tcPr>
          <w:p w14:paraId="00047F39" w14:textId="77777777" w:rsidR="00665E83" w:rsidRPr="00416204" w:rsidRDefault="00665E83" w:rsidP="00847FF6">
            <w:pPr>
              <w:rPr>
                <w:rFonts w:ascii="Times New Roman" w:hAnsi="Times New Roman"/>
                <w:b/>
                <w:color w:val="FF0000"/>
              </w:rPr>
            </w:pPr>
            <w:r w:rsidRPr="00416204">
              <w:rPr>
                <w:rFonts w:ascii="Times New Roman" w:hAnsi="Times New Roman"/>
                <w:b/>
                <w:color w:val="FF0000"/>
              </w:rPr>
              <w:t>Uses accounting concepts such as accounting profit and depreciation which are not necessarily related to cashflow</w:t>
            </w:r>
          </w:p>
        </w:tc>
        <w:tc>
          <w:tcPr>
            <w:tcW w:w="4621" w:type="dxa"/>
          </w:tcPr>
          <w:p w14:paraId="479154D2" w14:textId="77777777" w:rsidR="00665E83" w:rsidRPr="00416204" w:rsidRDefault="00665E83" w:rsidP="00847FF6">
            <w:pPr>
              <w:rPr>
                <w:rFonts w:ascii="Times New Roman" w:hAnsi="Times New Roman"/>
                <w:b/>
                <w:color w:val="FF0000"/>
              </w:rPr>
            </w:pPr>
            <w:r w:rsidRPr="00416204">
              <w:rPr>
                <w:rFonts w:ascii="Times New Roman" w:hAnsi="Times New Roman"/>
                <w:b/>
                <w:color w:val="FF0000"/>
              </w:rPr>
              <w:t>Based on incremental cashflow</w:t>
            </w:r>
          </w:p>
        </w:tc>
      </w:tr>
      <w:tr w:rsidR="00665E83" w:rsidRPr="00416204" w14:paraId="1CB644F6" w14:textId="77777777" w:rsidTr="00847FF6">
        <w:tc>
          <w:tcPr>
            <w:tcW w:w="4621" w:type="dxa"/>
          </w:tcPr>
          <w:p w14:paraId="35685BAE" w14:textId="77777777" w:rsidR="00665E83" w:rsidRPr="00416204" w:rsidRDefault="00665E83" w:rsidP="00847FF6">
            <w:pPr>
              <w:rPr>
                <w:rFonts w:ascii="Times New Roman" w:hAnsi="Times New Roman"/>
                <w:b/>
                <w:color w:val="FF0000"/>
              </w:rPr>
            </w:pPr>
            <w:r w:rsidRPr="00416204">
              <w:rPr>
                <w:rFonts w:ascii="Times New Roman" w:hAnsi="Times New Roman"/>
                <w:b/>
                <w:color w:val="FF0000"/>
              </w:rPr>
              <w:t>Does not take account of time value or risk</w:t>
            </w:r>
          </w:p>
        </w:tc>
        <w:tc>
          <w:tcPr>
            <w:tcW w:w="4621" w:type="dxa"/>
          </w:tcPr>
          <w:p w14:paraId="7F91F022" w14:textId="77777777" w:rsidR="00665E83" w:rsidRPr="00416204" w:rsidRDefault="00665E83" w:rsidP="00847FF6">
            <w:pPr>
              <w:rPr>
                <w:rFonts w:ascii="Times New Roman" w:hAnsi="Times New Roman"/>
                <w:b/>
                <w:color w:val="FF0000"/>
              </w:rPr>
            </w:pPr>
            <w:r w:rsidRPr="00416204">
              <w:rPr>
                <w:rFonts w:ascii="Times New Roman" w:hAnsi="Times New Roman"/>
                <w:b/>
                <w:color w:val="FF0000"/>
              </w:rPr>
              <w:t>Does take account of time value and risk by implicit discounting</w:t>
            </w:r>
          </w:p>
        </w:tc>
      </w:tr>
      <w:tr w:rsidR="00665E83" w:rsidRPr="00416204" w14:paraId="136CF689" w14:textId="77777777" w:rsidTr="00847FF6">
        <w:tc>
          <w:tcPr>
            <w:tcW w:w="4621" w:type="dxa"/>
          </w:tcPr>
          <w:p w14:paraId="1780478B" w14:textId="77777777" w:rsidR="00665E83" w:rsidRPr="00416204" w:rsidRDefault="00665E83" w:rsidP="00847FF6">
            <w:pPr>
              <w:rPr>
                <w:rFonts w:ascii="Times New Roman" w:hAnsi="Times New Roman"/>
                <w:b/>
                <w:color w:val="FF0000"/>
              </w:rPr>
            </w:pPr>
            <w:r w:rsidRPr="00416204">
              <w:rPr>
                <w:rFonts w:ascii="Times New Roman" w:hAnsi="Times New Roman"/>
                <w:b/>
                <w:color w:val="FF0000"/>
              </w:rPr>
              <w:lastRenderedPageBreak/>
              <w:t>Hurdle rate is arbitrary</w:t>
            </w:r>
          </w:p>
        </w:tc>
        <w:tc>
          <w:tcPr>
            <w:tcW w:w="4621" w:type="dxa"/>
          </w:tcPr>
          <w:p w14:paraId="2F455F7C" w14:textId="77777777" w:rsidR="00665E83" w:rsidRPr="00416204" w:rsidRDefault="00665E83" w:rsidP="00847FF6">
            <w:pPr>
              <w:rPr>
                <w:rFonts w:ascii="Times New Roman" w:hAnsi="Times New Roman"/>
                <w:b/>
                <w:color w:val="FF0000"/>
              </w:rPr>
            </w:pPr>
            <w:r w:rsidRPr="00416204">
              <w:rPr>
                <w:rFonts w:ascii="Times New Roman" w:hAnsi="Times New Roman"/>
                <w:b/>
                <w:color w:val="FF0000"/>
              </w:rPr>
              <w:t>Hurdle rate is based on the WACC</w:t>
            </w:r>
          </w:p>
        </w:tc>
      </w:tr>
      <w:tr w:rsidR="00665E83" w:rsidRPr="00416204" w14:paraId="22DBB99B" w14:textId="77777777" w:rsidTr="00847FF6">
        <w:tc>
          <w:tcPr>
            <w:tcW w:w="4621" w:type="dxa"/>
          </w:tcPr>
          <w:p w14:paraId="563A9B1E" w14:textId="77777777" w:rsidR="00665E83" w:rsidRPr="00416204" w:rsidRDefault="00665E83" w:rsidP="00847FF6">
            <w:pPr>
              <w:rPr>
                <w:rFonts w:ascii="Times New Roman" w:hAnsi="Times New Roman"/>
                <w:b/>
                <w:color w:val="FF0000"/>
              </w:rPr>
            </w:pPr>
            <w:r w:rsidRPr="00416204">
              <w:rPr>
                <w:rFonts w:ascii="Times New Roman" w:hAnsi="Times New Roman"/>
                <w:b/>
                <w:color w:val="FF0000"/>
              </w:rPr>
              <w:t>There are quite a number of different legitimate ways of calculating ARR</w:t>
            </w:r>
          </w:p>
        </w:tc>
        <w:tc>
          <w:tcPr>
            <w:tcW w:w="4621" w:type="dxa"/>
          </w:tcPr>
          <w:p w14:paraId="215DB454" w14:textId="77777777" w:rsidR="00665E83" w:rsidRPr="00416204" w:rsidRDefault="00665E83" w:rsidP="00847FF6">
            <w:pPr>
              <w:rPr>
                <w:rFonts w:ascii="Times New Roman" w:hAnsi="Times New Roman"/>
                <w:b/>
                <w:color w:val="FF0000"/>
              </w:rPr>
            </w:pPr>
            <w:r w:rsidRPr="00416204">
              <w:rPr>
                <w:rFonts w:ascii="Times New Roman" w:hAnsi="Times New Roman"/>
                <w:b/>
                <w:color w:val="FF0000"/>
              </w:rPr>
              <w:t>There is only one way to calculate IRR. Find r such that NPV = 0</w:t>
            </w:r>
          </w:p>
        </w:tc>
      </w:tr>
    </w:tbl>
    <w:p w14:paraId="583F9B9A" w14:textId="77777777" w:rsid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4A2CC627" w14:textId="77777777" w:rsidR="00665E83" w:rsidRPr="00182B2D" w:rsidRDefault="00665E83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1B415776" w14:textId="00206FB9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Pr="00182B2D">
        <w:rPr>
          <w:rFonts w:ascii="Arial" w:hAnsi="Arial" w:cs="Arial"/>
        </w:rPr>
        <w:t>Why do companies sometimes use all four approaches to project appraisal?</w:t>
      </w:r>
    </w:p>
    <w:p w14:paraId="5397C53D" w14:textId="77777777" w:rsidR="00665E83" w:rsidRPr="00416204" w:rsidRDefault="00665E83" w:rsidP="00665E83">
      <w:pPr>
        <w:autoSpaceDE w:val="0"/>
        <w:autoSpaceDN w:val="0"/>
        <w:adjustRightInd w:val="0"/>
        <w:rPr>
          <w:rFonts w:ascii="Times New Roman" w:hAnsi="Times New Roman"/>
          <w:b/>
          <w:i/>
          <w:color w:val="FF0000"/>
        </w:rPr>
      </w:pPr>
      <w:r w:rsidRPr="00416204">
        <w:rPr>
          <w:rFonts w:ascii="Times New Roman" w:hAnsi="Times New Roman"/>
          <w:b/>
          <w:i/>
          <w:color w:val="FF0000"/>
        </w:rPr>
        <w:t>It’s a belt and braces approach. If all four metrics are ‘pointing the right way’ it gives management more confidence in their decision.</w:t>
      </w:r>
    </w:p>
    <w:p w14:paraId="0076A94E" w14:textId="77777777" w:rsidR="00665E83" w:rsidRPr="00416204" w:rsidRDefault="00665E83" w:rsidP="00665E83">
      <w:pPr>
        <w:autoSpaceDE w:val="0"/>
        <w:autoSpaceDN w:val="0"/>
        <w:adjustRightInd w:val="0"/>
        <w:rPr>
          <w:rFonts w:ascii="Times New Roman" w:hAnsi="Times New Roman"/>
        </w:rPr>
      </w:pPr>
    </w:p>
    <w:p w14:paraId="34C50EA7" w14:textId="77777777" w:rsidR="00182B2D" w:rsidRPr="00182B2D" w:rsidRDefault="00182B2D" w:rsidP="00182B2D">
      <w:pPr>
        <w:autoSpaceDE w:val="0"/>
        <w:autoSpaceDN w:val="0"/>
        <w:adjustRightInd w:val="0"/>
        <w:rPr>
          <w:rFonts w:ascii="Arial" w:hAnsi="Arial" w:cs="Arial"/>
        </w:rPr>
      </w:pPr>
    </w:p>
    <w:p w14:paraId="3201D7DC" w14:textId="3E60B613" w:rsidR="00170E76" w:rsidRPr="00182B2D" w:rsidRDefault="00170E76" w:rsidP="00170E76">
      <w:pPr>
        <w:spacing w:line="276" w:lineRule="auto"/>
        <w:jc w:val="both"/>
        <w:rPr>
          <w:rFonts w:ascii="Arial" w:hAnsi="Arial" w:cs="Arial"/>
        </w:rPr>
      </w:pPr>
    </w:p>
    <w:p w14:paraId="1F35B984" w14:textId="180C0BDA" w:rsidR="00170E76" w:rsidRPr="00182B2D" w:rsidRDefault="00170E76" w:rsidP="00170E76">
      <w:pPr>
        <w:spacing w:line="276" w:lineRule="auto"/>
        <w:jc w:val="both"/>
        <w:rPr>
          <w:rFonts w:ascii="Arial" w:hAnsi="Arial" w:cs="Arial"/>
        </w:rPr>
      </w:pPr>
    </w:p>
    <w:sectPr w:rsidR="00170E76" w:rsidRPr="00182B2D" w:rsidSect="004B779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47C3F" w14:textId="77777777" w:rsidR="004B7792" w:rsidRDefault="004B7792" w:rsidP="00EB40F2">
      <w:r>
        <w:separator/>
      </w:r>
    </w:p>
  </w:endnote>
  <w:endnote w:type="continuationSeparator" w:id="0">
    <w:p w14:paraId="5BC2D86C" w14:textId="77777777" w:rsidR="004B7792" w:rsidRDefault="004B7792" w:rsidP="00EB4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19FFD" w14:textId="77777777" w:rsidR="004B7792" w:rsidRDefault="004B7792" w:rsidP="00EB40F2">
      <w:r>
        <w:separator/>
      </w:r>
    </w:p>
  </w:footnote>
  <w:footnote w:type="continuationSeparator" w:id="0">
    <w:p w14:paraId="77BA31C3" w14:textId="77777777" w:rsidR="004B7792" w:rsidRDefault="004B7792" w:rsidP="00EB4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248C"/>
    <w:multiLevelType w:val="hybridMultilevel"/>
    <w:tmpl w:val="953ED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2F541E"/>
    <w:multiLevelType w:val="hybridMultilevel"/>
    <w:tmpl w:val="98F46E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31015"/>
    <w:multiLevelType w:val="hybridMultilevel"/>
    <w:tmpl w:val="70B8A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341CF"/>
    <w:multiLevelType w:val="hybridMultilevel"/>
    <w:tmpl w:val="4F8E92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51629"/>
    <w:multiLevelType w:val="hybridMultilevel"/>
    <w:tmpl w:val="B9C667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42F293C"/>
    <w:multiLevelType w:val="hybridMultilevel"/>
    <w:tmpl w:val="5810F0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833223"/>
    <w:multiLevelType w:val="hybridMultilevel"/>
    <w:tmpl w:val="019049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323C7"/>
    <w:multiLevelType w:val="hybridMultilevel"/>
    <w:tmpl w:val="66204C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D31283"/>
    <w:multiLevelType w:val="hybridMultilevel"/>
    <w:tmpl w:val="8766E8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962CB"/>
    <w:multiLevelType w:val="hybridMultilevel"/>
    <w:tmpl w:val="820EC746"/>
    <w:lvl w:ilvl="0" w:tplc="73D057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66C2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BE18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A86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6E53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589F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D280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D2C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4A3E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49489127">
    <w:abstractNumId w:val="7"/>
  </w:num>
  <w:num w:numId="2" w16cid:durableId="1513757995">
    <w:abstractNumId w:val="8"/>
  </w:num>
  <w:num w:numId="3" w16cid:durableId="1239902458">
    <w:abstractNumId w:val="3"/>
  </w:num>
  <w:num w:numId="4" w16cid:durableId="2006123700">
    <w:abstractNumId w:val="5"/>
  </w:num>
  <w:num w:numId="5" w16cid:durableId="1588150332">
    <w:abstractNumId w:val="1"/>
  </w:num>
  <w:num w:numId="6" w16cid:durableId="452284329">
    <w:abstractNumId w:val="0"/>
  </w:num>
  <w:num w:numId="7" w16cid:durableId="1299872519">
    <w:abstractNumId w:val="2"/>
  </w:num>
  <w:num w:numId="8" w16cid:durableId="1050765961">
    <w:abstractNumId w:val="4"/>
  </w:num>
  <w:num w:numId="9" w16cid:durableId="1094396183">
    <w:abstractNumId w:val="6"/>
  </w:num>
  <w:num w:numId="10" w16cid:durableId="3578501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F2"/>
    <w:rsid w:val="000B2CA2"/>
    <w:rsid w:val="00170E76"/>
    <w:rsid w:val="00182B2D"/>
    <w:rsid w:val="00206B39"/>
    <w:rsid w:val="0029015A"/>
    <w:rsid w:val="0032164E"/>
    <w:rsid w:val="00366A97"/>
    <w:rsid w:val="004B7792"/>
    <w:rsid w:val="004C0C78"/>
    <w:rsid w:val="00524940"/>
    <w:rsid w:val="00537CFD"/>
    <w:rsid w:val="00665E83"/>
    <w:rsid w:val="0068039B"/>
    <w:rsid w:val="00754F62"/>
    <w:rsid w:val="007709E6"/>
    <w:rsid w:val="007E52BA"/>
    <w:rsid w:val="0081139C"/>
    <w:rsid w:val="008638A2"/>
    <w:rsid w:val="00A010CC"/>
    <w:rsid w:val="00AB2793"/>
    <w:rsid w:val="00B5418B"/>
    <w:rsid w:val="00C143A7"/>
    <w:rsid w:val="00D41C1D"/>
    <w:rsid w:val="00EB40F2"/>
    <w:rsid w:val="00F7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ECB1"/>
  <w15:chartTrackingRefBased/>
  <w15:docId w15:val="{9047F515-7341-4043-AAED-7B76D73A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0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0F2"/>
    <w:rPr>
      <w:noProof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B40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0F2"/>
    <w:rPr>
      <w:noProof/>
      <w:lang w:val="en-GB"/>
    </w:rPr>
  </w:style>
  <w:style w:type="paragraph" w:styleId="ListParagraph">
    <w:name w:val="List Paragraph"/>
    <w:basedOn w:val="Normal"/>
    <w:uiPriority w:val="34"/>
    <w:qFormat/>
    <w:rsid w:val="00EB40F2"/>
    <w:pPr>
      <w:ind w:left="720"/>
      <w:contextualSpacing/>
    </w:pPr>
  </w:style>
  <w:style w:type="table" w:styleId="TableGrid">
    <w:name w:val="Table Grid"/>
    <w:basedOn w:val="TableNormal"/>
    <w:uiPriority w:val="39"/>
    <w:rsid w:val="00EB40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Tam, Kok Chian</dc:creator>
  <cp:keywords/>
  <dc:description/>
  <cp:lastModifiedBy>Marney, John-Paul</cp:lastModifiedBy>
  <cp:revision>2</cp:revision>
  <dcterms:created xsi:type="dcterms:W3CDTF">2024-02-22T10:51:00Z</dcterms:created>
  <dcterms:modified xsi:type="dcterms:W3CDTF">2024-02-22T10:51:00Z</dcterms:modified>
</cp:coreProperties>
</file>