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F072F" w14:textId="77777777" w:rsidR="00041760" w:rsidRDefault="00000000">
      <w:pPr>
        <w:pStyle w:val="aa"/>
        <w:jc w:val="center"/>
      </w:pPr>
      <w:r>
        <w:rPr>
          <w:rFonts w:ascii="Times New Roman" w:eastAsia="Times New Roman" w:hAnsi="Times New Roman"/>
        </w:rPr>
        <w:t>REE DISTRIBUTION ANALYSIS - FINAL REPORT</w:t>
      </w:r>
    </w:p>
    <w:p w14:paraId="71E3918E" w14:textId="71068248" w:rsidR="00041760" w:rsidRDefault="00000000">
      <w:pPr>
        <w:jc w:val="center"/>
      </w:pPr>
      <w:r>
        <w:rPr>
          <w:b/>
        </w:rPr>
        <w:t xml:space="preserve">Qiwei Liang, </w:t>
      </w:r>
      <w:proofErr w:type="spellStart"/>
      <w:r>
        <w:rPr>
          <w:b/>
        </w:rPr>
        <w:t>Mengna</w:t>
      </w:r>
      <w:proofErr w:type="spellEnd"/>
      <w:r>
        <w:rPr>
          <w:b/>
        </w:rPr>
        <w:t xml:space="preserve"> Cheng, Michael King, Rohit Narwal</w:t>
      </w:r>
    </w:p>
    <w:p w14:paraId="4253DB9D" w14:textId="77777777" w:rsidR="00041760" w:rsidRDefault="00000000">
      <w:pPr>
        <w:pStyle w:val="1"/>
      </w:pPr>
      <w:r>
        <w:rPr>
          <w:rFonts w:ascii="Times New Roman" w:eastAsia="Times New Roman" w:hAnsi="Times New Roman"/>
        </w:rPr>
        <w:t>OVERVIEW</w:t>
      </w:r>
    </w:p>
    <w:p w14:paraId="261CE696" w14:textId="77777777" w:rsidR="00041760" w:rsidRDefault="00000000">
      <w:r>
        <w:t>This project investigates whether rare earth element (REE) locality records in the top five rare-earth reserve countries form meaningful spatial clusters, and whether those clusters differ in light rare earth element (LREE) versus heavy rare earth element (HREE) composition. The analysis uses Mindat locality records for 17 REE elements in China, Brazil, Australia, Russia, and Vietnam, with the country scope defined by the USGS 2026 Mineral Commodity Summaries rare-earth reserve rankings. The project analyzes reported locality distribution, not ore grade, chemical concentration, production volume, or mine-level economic value. This distinction matters because Mindat tells us where an element has been reported, while USGS reserve figures only define the country-level scope for the investigation.</w:t>
      </w:r>
    </w:p>
    <w:p w14:paraId="3DC6C615" w14:textId="77777777" w:rsidR="00041760" w:rsidRDefault="00000000">
      <w:pPr>
        <w:pStyle w:val="1"/>
      </w:pPr>
      <w:r>
        <w:rPr>
          <w:rFonts w:ascii="Times New Roman" w:eastAsia="Times New Roman" w:hAnsi="Times New Roman"/>
        </w:rPr>
        <w:t>1. CHOOSE AN INVESTIGATION AND IDENTIFY DATASETS</w:t>
      </w:r>
    </w:p>
    <w:p w14:paraId="0DA9F94F" w14:textId="77777777" w:rsidR="00041760" w:rsidRDefault="00000000">
      <w:r>
        <w:t>The investigation goal is to explain the spatial distribution of REE locality records and test whether the geographic groups also show different LREE/HREE composition. REEs were chosen because they are strategically important for permanent magnets, electric vehicles, wind turbines, defense systems, and electronics, while their supply chain is concentrated in a small number of countries. The Mindat API was chosen because it provides discoverable locality-level mineral occurrence records with coordinates, locality identifiers, element names, country fields, update dates, and URLs back to source locality pages. The USGS 2026 rare-earth reserves chapter was used only to define the top-five country scope: China, Brazil, Australia, Russia, and Vietnam.</w:t>
      </w:r>
    </w:p>
    <w:p w14:paraId="4CCE11D5" w14:textId="77777777" w:rsidR="00041760" w:rsidRDefault="00000000">
      <w:r>
        <w:t>The data were found and managed through a reproducible project folder under REE/. Raw Mindat API responses were stored as JSON files, and cleaned analysis tables were stored as CSV files in REE/data/processed/. The final analysis-ready table contains 1,338 records with valid coordinates, covering 714 unique localities across the five countries and 17 REE elements. The processed tables include country reserve ranks, element symbols, element names, LREE/HREE/scandium group labels, locality IDs, locality names, latitude, longitude, coordinate-system fields, modification dates, and source URLs.</w:t>
      </w:r>
    </w:p>
    <w:p w14:paraId="188EF2D2" w14:textId="77777777" w:rsidR="00041760" w:rsidRDefault="00000000">
      <w:r>
        <w:t>The formats are intentionally simple: JSON preserves the raw API responses, CSV supports analysis in pandas and scikit-learn, the notebook preserves code and model outputs, and HTML stores the visualization dashboard. The metadata conventions are lightweight but explicit: each element is tied to a symbol and REE group in ree_17_elements.csv, each country is tied to a reserve rank and reserve tonnage in top5_ree_reserve_countries.csv, and each locality record keeps a Mindat locality URL for traceability. The Mindat API helped the project because it made discovery and repeatable access possible, but it also hindered the analysis because the data are occurrence records rather than measured concentrations. Missing or placeholder coordinates also had to be removed before spatial analysis, and duplicate locality records had to be interpreted carefully because the same locality can report more than one REE element.</w:t>
      </w:r>
    </w:p>
    <w:p w14:paraId="3F061EFB" w14:textId="77777777" w:rsidR="00041760" w:rsidRDefault="00000000">
      <w:pPr>
        <w:spacing w:after="60"/>
        <w:ind w:left="288" w:hanging="288"/>
      </w:pPr>
      <w:r>
        <w:rPr>
          <w:b/>
          <w:sz w:val="20"/>
        </w:rPr>
        <w:t xml:space="preserve">Raw API records: </w:t>
      </w:r>
      <w:r>
        <w:rPr>
          <w:sz w:val="20"/>
        </w:rPr>
        <w:t>mindat_top5_country_17ree_localities_raw.json contains 3,546 raw Mindat rows for five countries and 17 REE elements.</w:t>
      </w:r>
    </w:p>
    <w:p w14:paraId="68DF61F7" w14:textId="77777777" w:rsidR="00041760" w:rsidRDefault="00000000">
      <w:pPr>
        <w:spacing w:after="60"/>
        <w:ind w:left="288" w:hanging="288"/>
      </w:pPr>
      <w:r>
        <w:rPr>
          <w:b/>
          <w:sz w:val="20"/>
        </w:rPr>
        <w:t xml:space="preserve">Main analysis data: </w:t>
      </w:r>
      <w:r>
        <w:rPr>
          <w:sz w:val="20"/>
        </w:rPr>
        <w:t>top5_17ree_localities_analysis_ready.csv contains 1,338 coordinate-valid records and 714 unique localities.</w:t>
      </w:r>
    </w:p>
    <w:p w14:paraId="5CBE3851" w14:textId="77777777" w:rsidR="00041760" w:rsidRDefault="00000000">
      <w:pPr>
        <w:spacing w:after="60"/>
        <w:ind w:left="288" w:hanging="288"/>
      </w:pPr>
      <w:r>
        <w:rPr>
          <w:b/>
          <w:sz w:val="20"/>
        </w:rPr>
        <w:t xml:space="preserve">Element counts: </w:t>
      </w:r>
      <w:r>
        <w:rPr>
          <w:sz w:val="20"/>
        </w:rPr>
        <w:t>The processed matrix reports Ce = 510, Y = 445, Nd = 187, and La = 165 locality records, the four highest element counts.</w:t>
      </w:r>
    </w:p>
    <w:p w14:paraId="0883515F" w14:textId="77777777" w:rsidR="00041760" w:rsidRDefault="00000000">
      <w:pPr>
        <w:spacing w:after="60"/>
        <w:ind w:left="288" w:hanging="288"/>
      </w:pPr>
      <w:r>
        <w:rPr>
          <w:b/>
          <w:sz w:val="20"/>
        </w:rPr>
        <w:t xml:space="preserve">Metadata files: </w:t>
      </w:r>
      <w:r>
        <w:rPr>
          <w:sz w:val="20"/>
        </w:rPr>
        <w:t>ree_17_elements.csv defines 17 elements and their LREE/HREE/scandium groups; top5_ree_reserve_countries.csv defines the five-country reserve scope.</w:t>
      </w:r>
    </w:p>
    <w:p w14:paraId="30D56A1A" w14:textId="77777777" w:rsidR="00041760" w:rsidRDefault="00000000">
      <w:pPr>
        <w:spacing w:after="60"/>
        <w:ind w:left="288" w:hanging="288"/>
      </w:pPr>
      <w:r>
        <w:rPr>
          <w:b/>
          <w:sz w:val="20"/>
        </w:rPr>
        <w:t xml:space="preserve">Visualization product: </w:t>
      </w:r>
      <w:r>
        <w:rPr>
          <w:sz w:val="20"/>
        </w:rPr>
        <w:t>visualizations/index.html contains the interactive map, filters, charts, and cluster view.</w:t>
      </w:r>
    </w:p>
    <w:p w14:paraId="065430F4" w14:textId="77777777" w:rsidR="00041760" w:rsidRDefault="00000000">
      <w:pPr>
        <w:pStyle w:val="1"/>
      </w:pPr>
      <w:r>
        <w:rPr>
          <w:rFonts w:ascii="Times New Roman" w:eastAsia="Times New Roman" w:hAnsi="Times New Roman"/>
        </w:rPr>
        <w:lastRenderedPageBreak/>
        <w:t>2. DATA ANALYSIS</w:t>
      </w:r>
    </w:p>
    <w:p w14:paraId="66E6BB62" w14:textId="77777777" w:rsidR="00041760" w:rsidRDefault="00000000">
      <w:pPr>
        <w:pStyle w:val="21"/>
      </w:pPr>
      <w:r>
        <w:rPr>
          <w:rFonts w:ascii="Times New Roman" w:eastAsia="Times New Roman" w:hAnsi="Times New Roman"/>
        </w:rPr>
        <w:t>2.1 Questions, Hypotheses, and Analysis Design</w:t>
      </w:r>
    </w:p>
    <w:p w14:paraId="3CAF8807" w14:textId="77777777" w:rsidR="00041760" w:rsidRDefault="00000000">
      <w:r>
        <w:t>Hypothesis 1: Do REE locality records in the top five rare-earth reserve countries form distinct spatial clusters? This hypothesis can be answered with the cleaned Mindat coordinate data because every analysis-ready record has latitude and longitude. The preliminary study checked country coverage, element coverage, coordinate validity, and duplicate locality behavior. The full study scaled latitude, longitude, and element-presence features, used PCA for dimensionality review, tested KMeans cluster counts from k = 2 through k = 10, and used DBSCAN as a density-based check.</w:t>
      </w:r>
    </w:p>
    <w:p w14:paraId="35023DD3" w14:textId="77777777" w:rsidR="00041760" w:rsidRDefault="00000000">
      <w:r>
        <w:t>Hypothesis 2: Do those spatial clusters differ in their light rare earth element versus heavy rare earth element composition? This hypothesis can be answered because each locality record is linked to an element and each element is classified as LREE, HREE, or scandium. The full analysis computed cluster-level LREE and HREE counts and compared the percentage of LREE-dominant localities across KMeans clusters. The post-analysis step compared KMeans with DBSCAN, reviewed classifier behavior, and separated meaningful clustering evidence from circular classification evidence. The report therefore treats the LREE/HREE result as a strong descriptive difference across clusters, not as a formal statistical-significance claim.</w:t>
      </w:r>
    </w:p>
    <w:p w14:paraId="320A93DB" w14:textId="77777777" w:rsidR="00041760" w:rsidRDefault="00000000">
      <w:pPr>
        <w:pStyle w:val="21"/>
      </w:pPr>
      <w:r>
        <w:rPr>
          <w:rFonts w:ascii="Times New Roman" w:eastAsia="Times New Roman" w:hAnsi="Times New Roman"/>
        </w:rPr>
        <w:t>2.2 Machine Learning Methods, Tools, and Stored Results</w:t>
      </w:r>
    </w:p>
    <w:p w14:paraId="5AD707FB" w14:textId="77777777" w:rsidR="00041760" w:rsidRDefault="00000000">
      <w:r>
        <w:t>The analysis uses multiple machine learning methods rather than a single regression model. KMeans was used to identify spatial and compositional clusters after feature scaling, and k values from 2 to 10 were evaluated using inertia, silhouette score, and Davies-Bouldin score. The best KMeans result was k = 10, with silhouette score 0.4331 and Davies-Bouldin score 0.6866. DBSCAN was then used as a second clustering method because it can mark isolated records as noise instead of forcing every point into a cluster.</w:t>
      </w:r>
    </w:p>
    <w:p w14:paraId="065A16B5" w14:textId="77777777" w:rsidR="00041760" w:rsidRDefault="00000000">
      <w:r>
        <w:t>The DBSCAN grid tested radii of 300, 500, 750, and 1,000 km with minimum-site settings of 5, 10, and 20. The strongest DBSCAN setting was radius = 300 km and min sites = 20, which found 15 clusters, marked 457 records as noise, and produced a silhouette score of 0.8173 on clustered points. This means about 33.9% of the records are geographically isolated rather than part of dense locality groups. Classification models were also tested to predict LREE-dominant versus HREE-dominant localities, including Logistic Regression, Random Forest, and Gradient Boosting; all produced near-perfect cross-validation results because the input features include the element flags that define the target label.</w:t>
      </w:r>
    </w:p>
    <w:p w14:paraId="4925CE28" w14:textId="77777777" w:rsidR="00041760" w:rsidRDefault="00000000">
      <w:r>
        <w:t>The tools used were Python, pandas, scikit-learn, Jupyter Notebook, and the Leaflet JavaScript mapping library. Code and outputs are stored in REE/REE.ipynb, reusable visualization generation code is stored in REE/scripts/create_visualizations.py, processed data products are stored in REE/data/processed/, and the final dashboard is stored in REE/visualizations/index.html. The most important persistent result files are the cleaned CSV tables, the country-by-element matrix, the data quality JSON report, the element metadata table, and the interactive HTML dashboard. The notebook output cells preserve the KMeans, DBSCAN, classifier, confusion-matrix, and feature-importance results used in this report.</w:t>
      </w:r>
    </w:p>
    <w:p w14:paraId="4A62BB68" w14:textId="77777777" w:rsidR="00041760" w:rsidRDefault="00000000">
      <w:pPr>
        <w:spacing w:after="60"/>
        <w:ind w:left="288" w:hanging="288"/>
      </w:pPr>
      <w:r>
        <w:rPr>
          <w:b/>
          <w:sz w:val="20"/>
        </w:rPr>
        <w:t xml:space="preserve">KMeans: </w:t>
      </w:r>
      <w:r>
        <w:rPr>
          <w:sz w:val="20"/>
        </w:rPr>
        <w:t>Best k = 10; silhouette = 0.4331; Davies-Bouldin = 0.6866.</w:t>
      </w:r>
    </w:p>
    <w:p w14:paraId="48BC6DAE" w14:textId="77777777" w:rsidR="00041760" w:rsidRDefault="00000000">
      <w:pPr>
        <w:spacing w:after="60"/>
        <w:ind w:left="288" w:hanging="288"/>
      </w:pPr>
      <w:r>
        <w:rPr>
          <w:b/>
          <w:sz w:val="20"/>
        </w:rPr>
        <w:t xml:space="preserve">DBSCAN: </w:t>
      </w:r>
      <w:r>
        <w:rPr>
          <w:sz w:val="20"/>
        </w:rPr>
        <w:t>Best setting = 300 km radius and min sites = 20; 15 clusters; 457 noise records; 33.9% noise; silhouette = 0.8173.</w:t>
      </w:r>
    </w:p>
    <w:p w14:paraId="7FC8916F" w14:textId="77777777" w:rsidR="00041760" w:rsidRDefault="00000000">
      <w:pPr>
        <w:spacing w:after="60"/>
        <w:ind w:left="288" w:hanging="288"/>
      </w:pPr>
      <w:r>
        <w:rPr>
          <w:b/>
          <w:sz w:val="20"/>
        </w:rPr>
        <w:t xml:space="preserve">Classifier: </w:t>
      </w:r>
      <w:r>
        <w:rPr>
          <w:sz w:val="20"/>
        </w:rPr>
        <w:t>Held-out test set produced ROC AUC = 1.0000, but this is treated as leakage evidence because element flags define the LREE/HREE target.</w:t>
      </w:r>
    </w:p>
    <w:p w14:paraId="4C805EBD" w14:textId="77777777" w:rsidR="00041760" w:rsidRDefault="00000000">
      <w:pPr>
        <w:pStyle w:val="21"/>
      </w:pPr>
      <w:r>
        <w:rPr>
          <w:rFonts w:ascii="Times New Roman" w:eastAsia="Times New Roman" w:hAnsi="Times New Roman"/>
        </w:rPr>
        <w:t>2.3 Validation Steps and Results</w:t>
      </w:r>
    </w:p>
    <w:p w14:paraId="73BF459C" w14:textId="77777777" w:rsidR="00041760" w:rsidRDefault="00000000">
      <w:r>
        <w:t xml:space="preserve">The first validation step was data-quality validation. The pipeline confirmed five countries, 17 REE elements, 3,546 raw rows, 3,546 cleaned rows, 1,338 analysis-ready rows, and 714 unique localities. Rows with missing or placeholder coordinates were removed from the analysis-ready table, which prevents the map and clustering models from using invalid locations. The country-by-element matrix was checked against the distribution </w:t>
      </w:r>
      <w:r>
        <w:lastRenderedPageBreak/>
        <w:t>summary, and the total reported locality records by group were LREE = 866, HREE = 451, and scandium = 21. These checks show that the modeling input matches the stated project scope.</w:t>
      </w:r>
    </w:p>
    <w:p w14:paraId="0BDE606B" w14:textId="77777777" w:rsidR="00041760" w:rsidRDefault="00000000">
      <w:r>
        <w:t>The second validation step was model-selection validation. KMeans was not chosen from a single visual impression; k = 2 through k = 10 were compared numerically, and k = 10 had the best silhouette score in that range. DBSCAN was used as an independent method with a different clustering assumption, and it still found dense geographic groups. This supports Hypothesis 1 because two different clustering methods both identify structure in the locality records. DBSCAN also adds information that KMeans cannot provide: a large isolated/noise group of 457 records.</w:t>
      </w:r>
    </w:p>
    <w:p w14:paraId="6D25AE54" w14:textId="77777777" w:rsidR="00041760" w:rsidRDefault="00000000">
      <w:r>
        <w:t>The third validation step was composition validation. KMeans cluster profiles showed that several clusters were almost entirely LREE-dominant, while cluster 2 was only 26.8% LREE-dominant, cluster 6 was 26.7% LREE-dominant, and cluster 7 was 0.0% LREE-dominant. This directly supports Hypothesis 2 at the descriptive level because the clusters do not have the same LREE/HREE balance. The classifier validation also exposed an important limitation: the test set produced 31 correctly predicted HREE-dominant sites, 238 correctly predicted LREE-dominant sites, and only one HREE site misclassified as LREE, but those scores are inflated because element flags such as Ce, Nd, La, and Y directly define the target. For that reason, the report relies on clustering and cluster-composition outputs for the main scientific interpretation, and treats the classifier mostly as a diagnostic and explanatory tool.</w:t>
      </w:r>
    </w:p>
    <w:p w14:paraId="599DB4F7" w14:textId="77777777" w:rsidR="00041760" w:rsidRDefault="00000000">
      <w:r>
        <w:t>The main limitations are also part of validation. Mindat records indicate reported localities, not measured ore grade, concentration, reserve tonnage, or economic recoverability. The current project does not include tectonic plate boundary data, so it should not claim a plate-boundary relationship. DBSCAN uses a distance approximation that is acceptable for broad exploratory clustering but less precise than a full geodesic analysis for global comparisons. Finally, Hypothesis 2 would be stronger with an added chi-square or permutation test on the cluster-by-LREE/HREE contingency table; the current result is clear descriptively but should not be overstated as formal statistical significance.</w:t>
      </w:r>
    </w:p>
    <w:p w14:paraId="123449AA" w14:textId="77777777" w:rsidR="00041760" w:rsidRDefault="00000000">
      <w:pPr>
        <w:pStyle w:val="1"/>
      </w:pPr>
      <w:r>
        <w:rPr>
          <w:rFonts w:ascii="Times New Roman" w:eastAsia="Times New Roman" w:hAnsi="Times New Roman"/>
        </w:rPr>
        <w:t>3. PRESENTATION / VISUALIZATION</w:t>
      </w:r>
    </w:p>
    <w:p w14:paraId="7AFAC1BE" w14:textId="77777777" w:rsidR="00041760" w:rsidRDefault="00000000">
      <w:pPr>
        <w:pStyle w:val="21"/>
      </w:pPr>
      <w:r>
        <w:rPr>
          <w:rFonts w:ascii="Times New Roman" w:eastAsia="Times New Roman" w:hAnsi="Times New Roman"/>
        </w:rPr>
        <w:t>3.1 Visualization Products</w:t>
      </w:r>
    </w:p>
    <w:p w14:paraId="00E77EB4" w14:textId="77777777" w:rsidR="00041760" w:rsidRDefault="00000000">
      <w:r>
        <w:t>The project includes an interactive HTML dashboard at REE/visualizations/index.html. It presents the cleaned locality records on a Leaflet map and supports country filters, element filters, a global view, an Asia-focused view, and a cluster view. The dashboard also includes supporting charts for country-by-element locality counts, element frequencies, country-level record counts, USGS reserve scope, and REE group distribution. These visualizations present both the data and the analysis results rather than only showing final model metrics.</w:t>
      </w:r>
    </w:p>
    <w:p w14:paraId="4BF4696D" w14:textId="77777777" w:rsidR="00041760" w:rsidRDefault="00000000">
      <w:r>
        <w:t>The map directly supports Hypothesis 1 because it lets the viewer inspect whether locality records are spatially grouped. The matrix and element charts support Hypothesis 2 because they show how LREE, HREE, and scandium records vary by country and by element. The highest reported element counts in the processed matrix are Cerium = 510, Yttrium = 445, Neodymium = 187, and Lanthanum = 165. This gives the audience a fast way to see that LREE records dominate the dataset overall, while Yttrium remains a major HREE signal.</w:t>
      </w:r>
    </w:p>
    <w:p w14:paraId="7A7D509D" w14:textId="77777777" w:rsidR="00041760" w:rsidRDefault="00000000">
      <w:pPr>
        <w:pStyle w:val="21"/>
      </w:pPr>
      <w:r>
        <w:rPr>
          <w:rFonts w:ascii="Times New Roman" w:eastAsia="Times New Roman" w:hAnsi="Times New Roman"/>
        </w:rPr>
        <w:t>3.2 Management of Visualization Products and Metadata</w:t>
      </w:r>
    </w:p>
    <w:p w14:paraId="348A906C" w14:textId="77777777" w:rsidR="00041760" w:rsidRDefault="00000000">
      <w:r>
        <w:t>Visualization products are managed as reproducible project artifacts. The dashboard is generated from REE/scripts/create_visualizations.py and saved as REE/visualizations/index.html, while the source data remain in REE/data/processed/. This separation keeps the static presentation product separate from the cleaned data and the generation script. The dashboard metadata come from the processed CSV fields: country, element symbol, element group, locality ID, locality name, latitude, longitude, source URL, and reserve rank.</w:t>
      </w:r>
    </w:p>
    <w:p w14:paraId="42D33C9A" w14:textId="77777777" w:rsidR="00041760" w:rsidRDefault="00000000">
      <w:r>
        <w:t xml:space="preserve">The dashboard can be opened directly in a browser and can be submitted or shared without requiring the viewer to run the notebook. Because the HTML file is stored in GitHub with the processed data and script, the team can regenerate it when the data changes and can track changes to the visualization output. The </w:t>
      </w:r>
      <w:r>
        <w:lastRenderedPageBreak/>
        <w:t>visualization therefore functions as both a presentation artifact and a lightweight quality-control tool. If future work updates marker popups or cluster logic, the notebook and script should be kept synchronized so the submitted dashboard remains reproducible.</w:t>
      </w:r>
    </w:p>
    <w:p w14:paraId="3CC8B0B8" w14:textId="77777777" w:rsidR="00041760" w:rsidRDefault="00000000">
      <w:pPr>
        <w:pStyle w:val="21"/>
      </w:pPr>
      <w:r>
        <w:rPr>
          <w:rFonts w:ascii="Times New Roman" w:eastAsia="Times New Roman" w:hAnsi="Times New Roman"/>
        </w:rPr>
        <w:t>3.3 How the Visualizations Meet the Investigation Goal</w:t>
      </w:r>
    </w:p>
    <w:p w14:paraId="7A305556" w14:textId="77777777" w:rsidR="00041760" w:rsidRDefault="00000000">
      <w:r>
        <w:t>The investigation goal is not just to count REE records, but to understand whether they form interpretable spatial and compositional patterns. The interactive map helps meet that goal because it shows where records concentrate geographically and where they remain isolated. Country and element filters make it possible to inspect whether a pattern is driven by one country, one element, or a broader REE distribution. The cluster view adds value by turning model output into a spatial result the audience can evaluate visually.</w:t>
      </w:r>
    </w:p>
    <w:p w14:paraId="2B46C3EC" w14:textId="77777777" w:rsidR="00041760" w:rsidRDefault="00000000">
      <w:r>
        <w:t>The charts add value by preventing the map from being interpreted as a concentration map. The bar charts and matrix make clear that the data are reported locality records and that reporting frequency differs strongly by element and country. The visualizations therefore help the audience understand both the result and the limits of the result. They also make the final presentation more defensible because a viewer can move from the report claim to the exact locality, country, and element patterns that support it.</w:t>
      </w:r>
    </w:p>
    <w:p w14:paraId="54D6FBFE" w14:textId="77777777" w:rsidR="00041760" w:rsidRDefault="00000000">
      <w:pPr>
        <w:pStyle w:val="1"/>
      </w:pPr>
      <w:r>
        <w:rPr>
          <w:rFonts w:ascii="Times New Roman" w:eastAsia="Times New Roman" w:hAnsi="Times New Roman"/>
        </w:rPr>
        <w:t>4. DATA MANAGEMENT PLAN</w:t>
      </w:r>
    </w:p>
    <w:p w14:paraId="568E0F25" w14:textId="77777777" w:rsidR="00041760" w:rsidRDefault="00000000">
      <w:pPr>
        <w:spacing w:after="60"/>
        <w:ind w:left="288" w:hanging="288"/>
      </w:pPr>
      <w:r>
        <w:rPr>
          <w:b/>
          <w:sz w:val="20"/>
        </w:rPr>
        <w:t xml:space="preserve">Logical collections: </w:t>
      </w:r>
      <w:r>
        <w:rPr>
          <w:sz w:val="20"/>
        </w:rPr>
        <w:t>The project is organized into raw API responses, processed analysis tables, notebook code and outputs, reusable visualization scripts, static dashboard output, and final report products. This keeps source data, derived data, code, and presentation artifacts logically separate.</w:t>
      </w:r>
    </w:p>
    <w:p w14:paraId="22E7F069" w14:textId="77777777" w:rsidR="00041760" w:rsidRDefault="00000000">
      <w:pPr>
        <w:spacing w:after="60"/>
        <w:ind w:left="288" w:hanging="288"/>
      </w:pPr>
      <w:r>
        <w:rPr>
          <w:b/>
          <w:sz w:val="20"/>
        </w:rPr>
        <w:t xml:space="preserve">Physical data handling: </w:t>
      </w:r>
      <w:r>
        <w:rPr>
          <w:sz w:val="20"/>
        </w:rPr>
        <w:t>Files are stored in the GitHub project under REE/data/raw/, REE/data/processed/, REE/scripts/, and REE/visualizations/. CSV and JSON files are small enough for direct version control, while the final report and dashboard are stored as separate deliverables.</w:t>
      </w:r>
    </w:p>
    <w:p w14:paraId="36FEAA30" w14:textId="77777777" w:rsidR="00041760" w:rsidRDefault="00000000">
      <w:pPr>
        <w:spacing w:after="60"/>
        <w:ind w:left="288" w:hanging="288"/>
      </w:pPr>
      <w:r>
        <w:rPr>
          <w:b/>
          <w:sz w:val="20"/>
        </w:rPr>
        <w:t xml:space="preserve">Interoperability support: </w:t>
      </w:r>
      <w:r>
        <w:rPr>
          <w:sz w:val="20"/>
        </w:rPr>
        <w:t>The project uses standard JSON, CSV, Jupyter Notebook, and HTML formats. Latitude and longitude fields support GIS use, element symbols follow standard chemical notation, and source URLs allow locality-level traceability.</w:t>
      </w:r>
    </w:p>
    <w:p w14:paraId="62D3B632" w14:textId="77777777" w:rsidR="00041760" w:rsidRDefault="00000000">
      <w:pPr>
        <w:spacing w:after="60"/>
        <w:ind w:left="288" w:hanging="288"/>
      </w:pPr>
      <w:r>
        <w:rPr>
          <w:b/>
          <w:sz w:val="20"/>
        </w:rPr>
        <w:t xml:space="preserve">Security: </w:t>
      </w:r>
      <w:r>
        <w:rPr>
          <w:sz w:val="20"/>
        </w:rPr>
        <w:t>The data are public mineral occurrence records, not personal or sensitive human-subject data. API credentials should be kept out of committed code and stored in environment variables or local configuration if future pulls are run.</w:t>
      </w:r>
    </w:p>
    <w:p w14:paraId="6F01964B" w14:textId="77777777" w:rsidR="00041760" w:rsidRDefault="00000000">
      <w:pPr>
        <w:spacing w:after="60"/>
        <w:ind w:left="288" w:hanging="288"/>
      </w:pPr>
      <w:r>
        <w:rPr>
          <w:b/>
          <w:sz w:val="20"/>
        </w:rPr>
        <w:t xml:space="preserve">Data ownership: </w:t>
      </w:r>
      <w:r>
        <w:rPr>
          <w:sz w:val="20"/>
        </w:rPr>
        <w:t>Mindat owns and provides the locality records through its API, and USGS provides the reserve figures used to define country scope. The team owns the cleaning code, processed tables, models, dashboard, interpretation, report, and presentation.</w:t>
      </w:r>
    </w:p>
    <w:p w14:paraId="2AEFBE4C" w14:textId="77777777" w:rsidR="00041760" w:rsidRDefault="00000000">
      <w:pPr>
        <w:spacing w:after="60"/>
        <w:ind w:left="288" w:hanging="288"/>
      </w:pPr>
      <w:r>
        <w:rPr>
          <w:b/>
          <w:sz w:val="20"/>
        </w:rPr>
        <w:t xml:space="preserve">Metadata: </w:t>
      </w:r>
      <w:r>
        <w:rPr>
          <w:sz w:val="20"/>
        </w:rPr>
        <w:t>Metadata are maintained through explicit columns such as reserve_rank, query_country, query_element, element_name, ree_group, locality_id, locality_name, latitude, longitude, coordsystem, datemodify, and mindat_locality_url. The element and country reference CSV files document the project scope.</w:t>
      </w:r>
    </w:p>
    <w:p w14:paraId="4A64379C" w14:textId="77777777" w:rsidR="00041760" w:rsidRDefault="00000000">
      <w:pPr>
        <w:spacing w:after="60"/>
        <w:ind w:left="288" w:hanging="288"/>
      </w:pPr>
      <w:r>
        <w:rPr>
          <w:b/>
          <w:sz w:val="20"/>
        </w:rPr>
        <w:t xml:space="preserve">Persistence: </w:t>
      </w:r>
      <w:r>
        <w:rPr>
          <w:sz w:val="20"/>
        </w:rPr>
        <w:t>The GitHub repository is the persistent working copy for data, code, and outputs. The static HTML dashboard and final report should be retained with the processed CSV files so the submitted results can be reviewed without rerunning the API pull.</w:t>
      </w:r>
    </w:p>
    <w:p w14:paraId="01B638E3" w14:textId="77777777" w:rsidR="00041760" w:rsidRDefault="00000000">
      <w:pPr>
        <w:spacing w:after="60"/>
        <w:ind w:left="288" w:hanging="288"/>
      </w:pPr>
      <w:r>
        <w:rPr>
          <w:b/>
          <w:sz w:val="20"/>
        </w:rPr>
        <w:t xml:space="preserve">Discovery: </w:t>
      </w:r>
      <w:r>
        <w:rPr>
          <w:sz w:val="20"/>
        </w:rPr>
        <w:t>Files use descriptive names that expose scope and processing stage, such as top5_17ree_localities_analysis_ready.csv and top5_17ree_distribution_matrix.csv. Records can be discovered by country, element, locality ID, locality name, and Mindat source URL.</w:t>
      </w:r>
    </w:p>
    <w:p w14:paraId="46B10E71" w14:textId="77777777" w:rsidR="00041760" w:rsidRDefault="00000000">
      <w:pPr>
        <w:spacing w:after="60"/>
        <w:ind w:left="288" w:hanging="288"/>
      </w:pPr>
      <w:r>
        <w:rPr>
          <w:b/>
          <w:sz w:val="20"/>
        </w:rPr>
        <w:t xml:space="preserve">Dissemination: </w:t>
      </w:r>
      <w:r>
        <w:rPr>
          <w:sz w:val="20"/>
        </w:rPr>
        <w:t>Results are disseminated through the written final report, final presentation, GitHub-managed project artifacts, and the standalone HTML dashboard. External sources are cited so viewers can separate source data from team-generated analysis.</w:t>
      </w:r>
    </w:p>
    <w:p w14:paraId="1183E4D1" w14:textId="77777777" w:rsidR="00041760" w:rsidRDefault="00000000">
      <w:pPr>
        <w:pStyle w:val="1"/>
      </w:pPr>
      <w:r>
        <w:rPr>
          <w:rFonts w:ascii="Times New Roman" w:eastAsia="Times New Roman" w:hAnsi="Times New Roman"/>
        </w:rPr>
        <w:t>CONCLUSION</w:t>
      </w:r>
    </w:p>
    <w:p w14:paraId="0BEDCF4A" w14:textId="77777777" w:rsidR="00041760" w:rsidRDefault="00000000">
      <w:r>
        <w:t xml:space="preserve">Both project hypotheses are supported within the limits of the current dataset. REE locality records in the top five reserve countries are not randomly scattered in the analysis-ready Mindat data; KMeans and DBSCAN both find spatial structure, and DBSCAN identifies a large isolated subset that KMeans cannot separate as noise. The clusters also differ in LREE/HREE composition, with clusters 2 and 6 showing only about 27% LREE-dominant localities and cluster 7 showing 0% LREE-dominant localities, while several other clusters </w:t>
      </w:r>
      <w:r>
        <w:lastRenderedPageBreak/>
        <w:t>are near or at 100% LREE-dominant. The strongest final conclusion is: in the current top-five reserve-country Mindat dataset, REE reported localities form distinct spatial clusters, and those clusters show clear descriptive differences in LREE versus HREE composition.</w:t>
      </w:r>
    </w:p>
    <w:p w14:paraId="3D36078D" w14:textId="77777777" w:rsidR="00041760" w:rsidRDefault="00000000">
      <w:pPr>
        <w:pStyle w:val="1"/>
      </w:pPr>
      <w:r>
        <w:rPr>
          <w:rFonts w:ascii="Times New Roman" w:eastAsia="Times New Roman" w:hAnsi="Times New Roman"/>
        </w:rPr>
        <w:t>TEAM CONTRIBUTIONS</w:t>
      </w:r>
    </w:p>
    <w:p w14:paraId="5CCC7281" w14:textId="77777777" w:rsidR="00041760" w:rsidRDefault="00000000">
      <w:r>
        <w:t>Qiwei Liang - Data engineering, Mindat API extraction, data cleaning, processed CSV outputs, and data quality reporting.</w:t>
      </w:r>
    </w:p>
    <w:p w14:paraId="2A51A73D" w14:textId="77777777" w:rsidR="00041760" w:rsidRDefault="00000000">
      <w:r>
        <w:t>Mengna Cheng - GIS and visualization, including the interactive map, charts, dashboard layout, filters, and static HTML output.</w:t>
      </w:r>
    </w:p>
    <w:p w14:paraId="1989A9FA" w14:textId="77777777" w:rsidR="00041760" w:rsidRDefault="00000000">
      <w:r>
        <w:t>Michael King - Clustering and machine learning analysis, including KMeans, DBSCAN, classifier comparison, model validation, and cluster-composition interpretation.</w:t>
      </w:r>
    </w:p>
    <w:p w14:paraId="514A94FD" w14:textId="77777777" w:rsidR="00041760" w:rsidRDefault="00000000">
      <w:r>
        <w:t>Rohit Narwal - Technical writing and final report synthesis, including methods, results, limitations, and rubric-aligned report structure.</w:t>
      </w:r>
    </w:p>
    <w:p w14:paraId="35429E74" w14:textId="77777777" w:rsidR="00041760" w:rsidRDefault="00000000">
      <w:pPr>
        <w:pStyle w:val="1"/>
      </w:pPr>
      <w:r>
        <w:rPr>
          <w:rFonts w:ascii="Times New Roman" w:eastAsia="Times New Roman" w:hAnsi="Times New Roman"/>
        </w:rPr>
        <w:t>SOURCES</w:t>
      </w:r>
    </w:p>
    <w:p w14:paraId="57C59B3C" w14:textId="77777777" w:rsidR="00041760" w:rsidRDefault="00000000">
      <w:r>
        <w:t>USGS Mineral Commodity Summaries 2026: https://pubs.usgs.gov/publication/mcs2026</w:t>
      </w:r>
    </w:p>
    <w:p w14:paraId="52E1377E" w14:textId="77777777" w:rsidR="00041760" w:rsidRDefault="00000000">
      <w:r>
        <w:t>USGS Rare Earths 2026 chapter: https://pubs.usgs.gov/periodicals/mcs2026/mcs2026-rare-earths.pdf</w:t>
      </w:r>
    </w:p>
    <w:p w14:paraId="251ACFCA" w14:textId="77777777" w:rsidR="00041760" w:rsidRDefault="00000000">
      <w:r>
        <w:t>Mindat API schema: https://api.mindat.org/v1/schema/</w:t>
      </w:r>
    </w:p>
    <w:p w14:paraId="10A24B42" w14:textId="77777777" w:rsidR="00041760" w:rsidRDefault="00000000">
      <w:r>
        <w:t>Project files reviewed: REE/REE.ipynb, REE/data/processed/top5_17ree_data_quality_report.json, REE/data/processed/top5_17ree_distribution_matrix.csv, REE/data/processed/top5_17ree_distribution_summary.csv, REE/data/processed/ree_17_elements.csv, REE/data/processed/ree_locality_clusters.csv, REE/scripts/create_visualizations.py, and REE/visualizations/index.html.</w:t>
      </w:r>
    </w:p>
    <w:sectPr w:rsidR="00041760"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55A21" w14:textId="77777777" w:rsidR="00A613DD" w:rsidRDefault="00A613DD">
      <w:pPr>
        <w:spacing w:after="0" w:line="240" w:lineRule="auto"/>
      </w:pPr>
      <w:r>
        <w:separator/>
      </w:r>
    </w:p>
  </w:endnote>
  <w:endnote w:type="continuationSeparator" w:id="0">
    <w:p w14:paraId="1CF3E5C5" w14:textId="77777777" w:rsidR="00A613DD" w:rsidRDefault="00A613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3C9B9" w14:textId="3243AB13" w:rsidR="00041760" w:rsidRDefault="00000000">
    <w:pPr>
      <w:pStyle w:val="a7"/>
      <w:jc w:val="center"/>
    </w:pPr>
    <w:r>
      <w:rPr>
        <w:sz w:val="18"/>
      </w:rPr>
      <w:t>REE Distribution Analysis - Final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0E2F0" w14:textId="77777777" w:rsidR="00A613DD" w:rsidRDefault="00A613DD">
      <w:pPr>
        <w:spacing w:after="0" w:line="240" w:lineRule="auto"/>
      </w:pPr>
      <w:r>
        <w:separator/>
      </w:r>
    </w:p>
  </w:footnote>
  <w:footnote w:type="continuationSeparator" w:id="0">
    <w:p w14:paraId="25F29D9B" w14:textId="77777777" w:rsidR="00A613DD" w:rsidRDefault="00A613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9831344">
    <w:abstractNumId w:val="8"/>
  </w:num>
  <w:num w:numId="2" w16cid:durableId="524946163">
    <w:abstractNumId w:val="6"/>
  </w:num>
  <w:num w:numId="3" w16cid:durableId="836968293">
    <w:abstractNumId w:val="5"/>
  </w:num>
  <w:num w:numId="4" w16cid:durableId="227346847">
    <w:abstractNumId w:val="4"/>
  </w:num>
  <w:num w:numId="5" w16cid:durableId="700280796">
    <w:abstractNumId w:val="7"/>
  </w:num>
  <w:num w:numId="6" w16cid:durableId="678196044">
    <w:abstractNumId w:val="3"/>
  </w:num>
  <w:num w:numId="7" w16cid:durableId="2118988736">
    <w:abstractNumId w:val="2"/>
  </w:num>
  <w:num w:numId="8" w16cid:durableId="576086830">
    <w:abstractNumId w:val="1"/>
  </w:num>
  <w:num w:numId="9" w16cid:durableId="609707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760"/>
    <w:rsid w:val="0006063C"/>
    <w:rsid w:val="0015074B"/>
    <w:rsid w:val="0029639D"/>
    <w:rsid w:val="00326F90"/>
    <w:rsid w:val="005B5FCC"/>
    <w:rsid w:val="00A613DD"/>
    <w:rsid w:val="00AA1D8D"/>
    <w:rsid w:val="00B006E4"/>
    <w:rsid w:val="00B47730"/>
    <w:rsid w:val="00CB0664"/>
    <w:rsid w:val="00D262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83E773"/>
  <w14:defaultImageDpi w14:val="300"/>
  <w15:docId w15:val="{CC38DA88-C7A3-44B9-BC1C-BA5A86BD4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9" w:lineRule="auto"/>
    </w:pPr>
    <w:rPr>
      <w:rFonts w:ascii="Times New Roman" w:eastAsia="Times New Roman" w:hAnsi="Times New Roman"/>
    </w:rPr>
  </w:style>
  <w:style w:type="paragraph" w:styleId="1">
    <w:name w:val="heading 1"/>
    <w:basedOn w:val="a1"/>
    <w:next w:val="a1"/>
    <w:link w:val="10"/>
    <w:uiPriority w:val="9"/>
    <w:qFormat/>
    <w:rsid w:val="00FC693F"/>
    <w:pPr>
      <w:keepNext/>
      <w:keepLines/>
      <w:spacing w:before="200" w:after="80"/>
      <w:outlineLvl w:val="0"/>
    </w:pPr>
    <w:rPr>
      <w:rFonts w:asciiTheme="majorHAnsi" w:eastAsiaTheme="majorEastAsia" w:hAnsiTheme="majorHAnsi" w:cstheme="majorBidi"/>
      <w:b/>
      <w:bCs/>
      <w:color w:val="000000"/>
      <w:sz w:val="24"/>
      <w:szCs w:val="28"/>
    </w:rPr>
  </w:style>
  <w:style w:type="paragraph" w:styleId="21">
    <w:name w:val="heading 2"/>
    <w:basedOn w:val="a1"/>
    <w:next w:val="a1"/>
    <w:link w:val="22"/>
    <w:uiPriority w:val="9"/>
    <w:unhideWhenUsed/>
    <w:qFormat/>
    <w:rsid w:val="00FC693F"/>
    <w:pPr>
      <w:keepNext/>
      <w:keepLines/>
      <w:spacing w:before="120" w:after="8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120" w:after="8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2719</Words>
  <Characters>15503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Liang, Qiwei (lian1564@vandals.uidaho.edu)</cp:lastModifiedBy>
  <cp:revision>3</cp:revision>
  <dcterms:created xsi:type="dcterms:W3CDTF">2013-12-23T23:15:00Z</dcterms:created>
  <dcterms:modified xsi:type="dcterms:W3CDTF">2026-05-05T04:17:00Z</dcterms:modified>
  <cp:category/>
</cp:coreProperties>
</file>