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sz w:val="36"/>
        </w:rPr>
        <w:t>杨氏双缝干涉实验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8"/>
        </w:rPr>
        <w:t>实验报告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姓名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学号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班级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日期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</w:tr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张三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2026000000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光电2401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2026-10-05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李老师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一、实验目的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观察双缝干涉现象，测量钠黄光波长。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二、实验原理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杨氏双缝干涉条纹间距 Δx = λL/d，测出 Δx、L、d 后由 λ = Δx·d/L 计算波长。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三、实验仪器与装置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钠光灯、双缝、测微目镜、米尺。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四、实验数据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级次 m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条纹位置 x/mm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1.1758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2.3737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3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3.5501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4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4.7354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5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5.9026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6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7.0729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7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8.2464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8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9.4447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9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10.6287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10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11.7669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五、数据处理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拟合方程：y = 1.17746·x + (0.01368)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斜率 k = 1.17746 ± 0.00148106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截距 b = 0.01368 ± 0.00918975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决定系数 R² = 0.999987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数据点数 n = 10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拟合曲线图：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29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demo_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29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Times New Roman" w:hAnsi="Times New Roman" w:eastAsia="宋体"/>
          <w:b w:val="0"/>
          <w:sz w:val="24"/>
        </w:rPr>
        <w:t>不确定度分析：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测量次数 n = 5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平均值 x̄ = 1.176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标准偏差 s = 0.0114018（贝塞尔公式）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平均值标准误差 s(x̄) = 0.00509902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A 类不确定度 uA = t(4)·s(x̄) = 2.78 × 0.00509902 = 0.0141753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B 类不确定度 uB = Δ/√3 = 0.02/1.7321 = 0.011547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合成不确定度 u = √(uA²+uB²) = 0.0182831</w:t>
      </w:r>
    </w:p>
    <w:p>
      <w:pPr>
        <w:spacing w:after="40"/>
        <w:ind w:firstLine="480"/>
      </w:pPr>
      <w:r>
        <w:rPr>
          <w:rFonts w:ascii="Times New Roman" w:hAnsi="Times New Roman" w:eastAsia="宋体"/>
          <w:b w:val="0"/>
          <w:sz w:val="24"/>
        </w:rPr>
        <w:t>扩展不确定度 U = k·u = 2 × 0.0182831 = 0.0365662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六、结果与分析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拟合得到条纹间距 Δx = 1.1775 mm，代入 λ = Δx·d/L 得 λ ≈ 588730.9 nm，与钠黄光标准值 589.3 nm 相符。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七、结论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（待填写：本实验的最终结论与收获）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