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80" w:before="80"/>
        <w:jc w:val="center"/>
      </w:pPr>
      <w:r>
        <w:rPr>
          <w:rFonts w:ascii="Arial" w:cs="Arial" w:eastAsia="Arial" w:hAnsi="Arial"/>
          <w:b/>
          <w:bCs/>
          <w:color w:val="1F3864"/>
          <w:sz w:val="38"/>
          <w:szCs w:val="38"/>
        </w:rPr>
        <w:t xml:space="preserve">COMPARATIVE STUDY OF MULTI-AGENT PATH FINDING ALGORITHMS:</w:t>
      </w:r>
    </w:p>
    <w:p>
      <w:pPr>
        <w:spacing w:after="80" w:before="80"/>
        <w:jc w:val="center"/>
      </w:pPr>
      <w:r>
        <w:rPr>
          <w:rFonts w:ascii="Arial" w:cs="Arial" w:eastAsia="Arial" w:hAnsi="Arial"/>
          <w:b/>
          <w:bCs/>
          <w:color w:val="2E4057"/>
          <w:sz w:val="32"/>
          <w:szCs w:val="32"/>
        </w:rPr>
        <w:t xml:space="preserve">CBS-TA, TSWAP, AND ECBS — MONTE CARLO ANALYSIS WITH PRE-RUN VALIDATION</w:t>
      </w:r>
    </w:p>
    <w:p>
      <w:pPr>
        <w:spacing w:after="80" w:before="80"/>
        <w:jc w:val="center"/>
      </w:pPr>
      <w:r>
        <w:rPr>
          <w:rFonts w:ascii="Arial" w:cs="Arial" w:eastAsia="Arial" w:hAnsi="Arial"/>
          <w:color w:val="AAAAAA"/>
          <w:sz w:val="20"/>
          <w:szCs w:val="20"/>
        </w:rPr>
        <w:t xml:space="preserve">────────────────────────────────────────────────────</w:t>
      </w:r>
    </w:p>
    <w:p>
      <w:pPr>
        <w:spacing w:after="60" w:before="60"/>
      </w:pPr>
      <w:r>
        <w:t xml:space="preserve"/>
      </w:r>
    </w:p>
    <w:p>
      <w:pPr>
        <w:spacing w:after="80" w:before="80"/>
        <w:jc w:val="center"/>
      </w:pPr>
      <w:r>
        <w:rPr>
          <w:rFonts w:ascii="Arial" w:cs="Arial" w:eastAsia="Arial" w:hAnsi="Arial"/>
          <w:i/>
          <w:iCs/>
          <w:sz w:val="24"/>
          <w:szCs w:val="24"/>
        </w:rPr>
        <w:t xml:space="preserve">A Comprehensive Academic Report on Implementation, Rigorous Statistical Validation,</w:t>
      </w:r>
    </w:p>
    <w:p>
      <w:pPr>
        <w:spacing w:after="80" w:before="80"/>
        <w:jc w:val="center"/>
      </w:pPr>
      <w:r>
        <w:rPr>
          <w:rFonts w:ascii="Arial" w:cs="Arial" w:eastAsia="Arial" w:hAnsi="Arial"/>
          <w:i/>
          <w:iCs/>
          <w:sz w:val="24"/>
          <w:szCs w:val="24"/>
        </w:rPr>
        <w:t xml:space="preserve">Bootstrap Confidence Intervals, Effect Size Analysis, Power Analysis, and Comparison</w:t>
      </w:r>
    </w:p>
    <w:p>
      <w:pPr>
        <w:spacing w:after="80" w:before="80"/>
        <w:jc w:val="center"/>
      </w:pPr>
      <w:r>
        <w:rPr>
          <w:rFonts w:ascii="Arial" w:cs="Arial" w:eastAsia="Arial" w:hAnsi="Arial"/>
          <w:i/>
          <w:iCs/>
          <w:sz w:val="24"/>
          <w:szCs w:val="24"/>
        </w:rPr>
        <w:t xml:space="preserve">with Published Benchmark Results from Source Papers</w:t>
      </w:r>
    </w:p>
    <w:p>
      <w:pPr>
        <w:spacing w:after="60" w:before="60"/>
      </w:pPr>
      <w:r>
        <w:t xml:space="preserve"/>
      </w:r>
    </w:p>
    <w:p>
      <w:pPr>
        <w:spacing w:after="60" w:before="60"/>
      </w:pPr>
      <w:r>
        <w:t xml:space="preserve"/>
      </w:r>
    </w:p>
    <w:p>
      <w:pPr>
        <w:spacing w:after="80" w:before="80"/>
        <w:jc w:val="center"/>
      </w:pPr>
      <w:r>
        <w:rPr>
          <w:rFonts w:ascii="Arial" w:cs="Arial" w:eastAsia="Arial" w:hAnsi="Arial"/>
          <w:b/>
          <w:bCs/>
          <w:sz w:val="22"/>
          <w:szCs w:val="22"/>
        </w:rPr>
        <w:t xml:space="preserve">Python / Pygame  ·  Pilot Studies  ·  Shapiro-Wilk CI Selection  ·  Bootstrap CI  ·  Cohen's d  ·  APA References</w:t>
      </w:r>
    </w:p>
    <w:p>
      <w:pPr>
        <w:spacing w:after="60" w:before="60"/>
      </w:pPr>
      <w:r>
        <w:t xml:space="preserve"/>
      </w:r>
    </w:p>
    <w:p>
      <w:pPr>
        <w:spacing w:after="60" w:before="60"/>
      </w:pPr>
      <w:r>
        <w:t xml:space="preserve"/>
      </w:r>
    </w:p>
    <w:p>
      <w:pPr>
        <w:spacing w:after="80" w:before="80"/>
        <w:jc w:val="center"/>
      </w:pPr>
      <w:r>
        <w:rPr>
          <w:rFonts w:ascii="Arial" w:cs="Arial" w:eastAsia="Arial" w:hAnsi="Arial"/>
          <w:b/>
          <w:bCs/>
          <w:sz w:val="22"/>
          <w:szCs w:val="22"/>
        </w:rPr>
        <w:t xml:space="preserve">Primary Sources:</w:t>
      </w:r>
    </w:p>
    <w:p>
      <w:pPr>
        <w:spacing w:after="80" w:before="80"/>
        <w:jc w:val="center"/>
      </w:pPr>
      <w:r>
        <w:rPr>
          <w:rFonts w:ascii="Arial" w:cs="Arial" w:eastAsia="Arial" w:hAnsi="Arial"/>
          <w:i/>
          <w:iCs/>
          <w:sz w:val="20"/>
          <w:szCs w:val="20"/>
        </w:rPr>
        <w:t xml:space="preserve">Hönig, W., Kiesel, S., Tinka, A., Durham, J. W., &amp; Ayanian, N. (2018).</w:t>
      </w:r>
    </w:p>
    <w:p>
      <w:pPr>
        <w:spacing w:after="80" w:before="80"/>
        <w:jc w:val="center"/>
      </w:pPr>
      <w:r>
        <w:rPr>
          <w:rFonts w:ascii="Arial" w:cs="Arial" w:eastAsia="Arial" w:hAnsi="Arial"/>
          <w:i/>
          <w:iCs/>
          <w:sz w:val="20"/>
          <w:szCs w:val="20"/>
        </w:rPr>
        <w:t xml:space="preserve">Conflict-based search with optimal task assignment. AAMAS 2018.</w:t>
      </w:r>
    </w:p>
    <w:p>
      <w:pPr>
        <w:spacing w:after="60" w:before="60"/>
      </w:pPr>
      <w:r>
        <w:t xml:space="preserve"/>
      </w:r>
    </w:p>
    <w:p>
      <w:pPr>
        <w:spacing w:after="80" w:before="80"/>
        <w:jc w:val="center"/>
      </w:pPr>
      <w:r>
        <w:rPr>
          <w:rFonts w:ascii="Arial" w:cs="Arial" w:eastAsia="Arial" w:hAnsi="Arial"/>
          <w:i/>
          <w:iCs/>
          <w:sz w:val="20"/>
          <w:szCs w:val="20"/>
        </w:rPr>
        <w:t xml:space="preserve">Okumura, K., &amp; Défago, X. (2022).</w:t>
      </w:r>
    </w:p>
    <w:p>
      <w:pPr>
        <w:spacing w:after="80" w:before="80"/>
        <w:jc w:val="center"/>
      </w:pPr>
      <w:r>
        <w:rPr>
          <w:rFonts w:ascii="Arial" w:cs="Arial" w:eastAsia="Arial" w:hAnsi="Arial"/>
          <w:i/>
          <w:iCs/>
          <w:sz w:val="20"/>
          <w:szCs w:val="20"/>
        </w:rPr>
        <w:t xml:space="preserve">Solving simultaneous target assignment and path planning efficiently. AAAI 2022.</w:t>
      </w:r>
    </w:p>
    <w:p>
      <w:pPr>
        <w:spacing w:after="60" w:before="60"/>
      </w:pPr>
      <w:r>
        <w:t xml:space="preserve"/>
      </w:r>
    </w:p>
    <w:p>
      <w:pPr>
        <w:spacing w:after="60" w:before="60"/>
      </w:pPr>
      <w:r>
        <w:t xml:space="preserve"/>
      </w:r>
    </w:p>
    <w:p>
      <w:pPr>
        <w:spacing w:after="80" w:before="80"/>
        <w:jc w:val="center"/>
      </w:pPr>
      <w:r>
        <w:rPr>
          <w:rFonts w:ascii="Arial" w:cs="Arial" w:eastAsia="Arial" w:hAnsi="Arial"/>
          <w:color w:val="AAAAAA"/>
          <w:sz w:val="20"/>
          <w:szCs w:val="20"/>
        </w:rPr>
        <w:t xml:space="preserve">────────────────────────────────────────────────────</w:t>
      </w:r>
    </w:p>
    <w:p>
      <w:pPr>
        <w:spacing w:after="80" w:before="80"/>
        <w:jc w:val="center"/>
      </w:pPr>
      <w:r>
        <w:rPr>
          <w:rFonts w:ascii="Arial" w:cs="Arial" w:eastAsia="Arial" w:hAnsi="Arial"/>
          <w:b/>
          <w:bCs/>
          <w:sz w:val="26"/>
          <w:szCs w:val="26"/>
        </w:rPr>
        <w:t xml:space="preserve">2025</w:t>
      </w:r>
    </w:p>
    <w:p>
      <w:r>
        <w:br w:type="page"/>
      </w:r>
    </w:p>
    <w:p>
      <w:pPr>
        <w:sectPr>
          <w:pgSz w:w="12240" w:h="15840" w:orient="portrait"/>
          <w:pgMar w:top="1440" w:right="1440" w:bottom="1440" w:left="1440" w:header="708" w:footer="708" w:gutter="0"/>
          <w:pgNumType/>
          <w:docGrid w:linePitch="360"/>
        </w:sectPr>
      </w:pPr>
    </w:p>
    <w:p>
      <w:pPr>
        <w:pStyle w:val="Heading1"/>
        <w:pBdr>
          <w:bottom w:val="single" w:color="1F3864" w:sz="6" w:space="1"/>
        </w:pBdr>
        <w:spacing w:after="180" w:before="360"/>
      </w:pPr>
      <w:r>
        <w:rPr>
          <w:rFonts w:ascii="Arial" w:cs="Arial" w:eastAsia="Arial" w:hAnsi="Arial"/>
          <w:b/>
          <w:bCs/>
          <w:sz w:val="32"/>
          <w:szCs w:val="32"/>
        </w:rPr>
        <w:t xml:space="preserve">Abstract</w:t>
      </w:r>
    </w:p>
    <w:p>
      <w:pPr>
        <w:spacing w:after="100" w:before="60"/>
        <w:jc w:val="both"/>
      </w:pPr>
      <w:r>
        <w:rPr>
          <w:rFonts w:ascii="Arial" w:cs="Arial" w:eastAsia="Arial" w:hAnsi="Arial"/>
          <w:sz w:val="22"/>
          <w:szCs w:val="22"/>
        </w:rPr>
        <w:t xml:space="preserve">Multi-Agent Path Finding (MAPF) is a fundamental combinatorial problem in artificial intelligence and robotics concerned with computing collision-free paths for a team of autonomous agents navigating a shared environment from their start positions to designated goals. The unlabeled (anonymous) variant—where any agent may fulfill any compatible goal—is known as the Simultaneous Target Assignment and Path Finding (TAPF) problem, and is central to warehouse automation, robot swarm coordination, and robot soccer.</w:t>
      </w:r>
    </w:p>
    <w:p>
      <w:pPr>
        <w:spacing w:after="100" w:before="60"/>
        <w:jc w:val="both"/>
      </w:pPr>
      <w:r>
        <w:rPr>
          <w:rFonts w:ascii="Arial" w:cs="Arial" w:eastAsia="Arial" w:hAnsi="Arial"/>
          <w:sz w:val="22"/>
          <w:szCs w:val="22"/>
        </w:rPr>
        <w:t xml:space="preserve">This report presents a comprehensive implementation and rigorous Monte Carlo empirical evaluation of three state-of-the-art MAPF algorithms: CBS-TA (Conflict-Based Search with Task Assignment, Hönig et al., 2018), TSWAP (Target Swap, Okumura &amp; Défago, 2022), and ECBS (Enhanced Conflict-Based Search, Barer et al., 2014). A key methodological contribution is a pre-run validation framework applying pilot studies, sample size determination, statistical power analysis (Cohen, 1988), and Shapiro-Wilk-based CI selection (t-distribution or bootstrap) before each experiment. All 95% confidence intervals are fully reported with their computation method.</w:t>
      </w:r>
    </w:p>
    <w:p>
      <w:pPr>
        <w:spacing w:after="100" w:before="60"/>
        <w:jc w:val="both"/>
      </w:pPr>
      <w:r>
        <w:rPr>
          <w:rFonts w:ascii="Arial" w:cs="Arial" w:eastAsia="Arial" w:hAnsi="Arial"/>
          <w:sz w:val="22"/>
          <w:szCs w:val="22"/>
        </w:rPr>
        <w:t xml:space="preserve">Experiments span two axes: scalability (20×20/20 agents to 60×60/100 agents) and agent density (20–80 agents in a 40×40 grid). Effect sizes (Cohen's d) grow from small (d=0.195, 20 agents) to large (d=0.905, 80 agents), quantifying when TSWAP's sub-optimality becomes operationally significant. TSWAP achieves 100% success across all configurations; CBS-TA collapses from 91.4% (20 agents) to 0% (100 agents); ECBS provides 48–94% success with 5–10% quality improvement over TSWAP when tractable. A dedicated comparative analysis against the source papers (Section 7.3) confirms that our Python results are qualitatively consistent with published C++ benchmarks while identifying specific quantitative discrepancies attributable to implementation language, grid scale, and algorithmic simplifications.</w:t>
      </w:r>
    </w:p>
    <w:p>
      <w:pPr>
        <w:spacing w:after="60" w:before="60"/>
      </w:pPr>
      <w:r>
        <w:t xml:space="preserve"/>
      </w:r>
    </w:p>
    <w:p>
      <w:pPr>
        <w:pStyle w:val="Heading1"/>
        <w:pBdr>
          <w:bottom w:val="single" w:color="1F3864" w:sz="6" w:space="1"/>
        </w:pBdr>
        <w:spacing w:after="180" w:before="360"/>
      </w:pPr>
      <w:r>
        <w:rPr>
          <w:rFonts w:ascii="Arial" w:cs="Arial" w:eastAsia="Arial" w:hAnsi="Arial"/>
          <w:b/>
          <w:bCs/>
          <w:sz w:val="32"/>
          <w:szCs w:val="32"/>
        </w:rPr>
        <w:t xml:space="preserve">Table of Contents</w:t>
      </w:r>
    </w:p>
    <w:p>
      <w:pPr>
        <w:spacing w:after="100" w:before="60"/>
        <w:jc w:val="both"/>
      </w:pPr>
      <w:r>
        <w:rPr>
          <w:rFonts w:ascii="Arial" w:cs="Arial" w:eastAsia="Arial" w:hAnsi="Arial"/>
          <w:sz w:val="22"/>
          <w:szCs w:val="22"/>
        </w:rPr>
        <w:t xml:space="preserve">1.  Introduction .................................................................................................................1</w:t>
      </w:r>
    </w:p>
    <w:p>
      <w:pPr>
        <w:spacing w:after="100" w:before="60"/>
        <w:jc w:val="both"/>
      </w:pPr>
      <w:r>
        <w:rPr>
          <w:rFonts w:ascii="Arial" w:cs="Arial" w:eastAsia="Arial" w:hAnsi="Arial"/>
          <w:sz w:val="22"/>
          <w:szCs w:val="22"/>
        </w:rPr>
        <w:t xml:space="preserve">    1.1–1.4  Problem Statement, Research Questions, Aims, Significance ...............................1</w:t>
      </w:r>
    </w:p>
    <w:p>
      <w:pPr>
        <w:spacing w:after="100" w:before="60"/>
        <w:jc w:val="both"/>
      </w:pPr>
      <w:r>
        <w:rPr>
          <w:rFonts w:ascii="Arial" w:cs="Arial" w:eastAsia="Arial" w:hAnsi="Arial"/>
          <w:sz w:val="22"/>
          <w:szCs w:val="22"/>
        </w:rPr>
        <w:t xml:space="preserve">2.  Background and Related Work .......................................................................................4</w:t>
      </w:r>
    </w:p>
    <w:p>
      <w:pPr>
        <w:spacing w:after="100" w:before="60"/>
        <w:jc w:val="both"/>
      </w:pPr>
      <w:r>
        <w:rPr>
          <w:rFonts w:ascii="Arial" w:cs="Arial" w:eastAsia="Arial" w:hAnsi="Arial"/>
          <w:sz w:val="22"/>
          <w:szCs w:val="22"/>
        </w:rPr>
        <w:t xml:space="preserve">    2.1–2.5  MAPF Definitions, CBS, Unlabeled MAPF, Structural Analysis, Techniques .......4</w:t>
      </w:r>
    </w:p>
    <w:p>
      <w:pPr>
        <w:spacing w:after="100" w:before="60"/>
        <w:jc w:val="both"/>
      </w:pPr>
      <w:r>
        <w:rPr>
          <w:rFonts w:ascii="Arial" w:cs="Arial" w:eastAsia="Arial" w:hAnsi="Arial"/>
          <w:sz w:val="22"/>
          <w:szCs w:val="22"/>
        </w:rPr>
        <w:t xml:space="preserve">3.  Algorithm Descriptions and Flowcharts .......................................................................11</w:t>
      </w:r>
    </w:p>
    <w:p>
      <w:pPr>
        <w:spacing w:after="100" w:before="60"/>
        <w:jc w:val="both"/>
      </w:pPr>
      <w:r>
        <w:rPr>
          <w:rFonts w:ascii="Arial" w:cs="Arial" w:eastAsia="Arial" w:hAnsi="Arial"/>
          <w:sz w:val="22"/>
          <w:szCs w:val="22"/>
        </w:rPr>
        <w:t xml:space="preserve">    3.1  CBS-TA — Figure 1: CBS-TA Flowchart ................................................................11</w:t>
      </w:r>
    </w:p>
    <w:p>
      <w:pPr>
        <w:spacing w:after="100" w:before="60"/>
        <w:jc w:val="both"/>
      </w:pPr>
      <w:r>
        <w:rPr>
          <w:rFonts w:ascii="Arial" w:cs="Arial" w:eastAsia="Arial" w:hAnsi="Arial"/>
          <w:sz w:val="22"/>
          <w:szCs w:val="22"/>
        </w:rPr>
        <w:t xml:space="preserve">    3.2  TSWAP — Figure 2: TSWAP Flowchart .................................................................16</w:t>
      </w:r>
    </w:p>
    <w:p>
      <w:pPr>
        <w:spacing w:after="100" w:before="60"/>
        <w:jc w:val="both"/>
      </w:pPr>
      <w:r>
        <w:rPr>
          <w:rFonts w:ascii="Arial" w:cs="Arial" w:eastAsia="Arial" w:hAnsi="Arial"/>
          <w:sz w:val="22"/>
          <w:szCs w:val="22"/>
        </w:rPr>
        <w:t xml:space="preserve">    3.3  ECBS — Figure 3: ECBS Flowchart ......................................................................21</w:t>
      </w:r>
    </w:p>
    <w:p>
      <w:pPr>
        <w:spacing w:after="100" w:before="60"/>
        <w:jc w:val="both"/>
      </w:pPr>
      <w:r>
        <w:rPr>
          <w:rFonts w:ascii="Arial" w:cs="Arial" w:eastAsia="Arial" w:hAnsi="Arial"/>
          <w:sz w:val="22"/>
          <w:szCs w:val="22"/>
        </w:rPr>
        <w:t xml:space="preserve">4.  Implementation in Python with Pygame ........................................................................25</w:t>
      </w:r>
    </w:p>
    <w:p>
      <w:pPr>
        <w:spacing w:after="100" w:before="60"/>
        <w:jc w:val="both"/>
      </w:pPr>
      <w:r>
        <w:rPr>
          <w:rFonts w:ascii="Arial" w:cs="Arial" w:eastAsia="Arial" w:hAnsi="Arial"/>
          <w:sz w:val="22"/>
          <w:szCs w:val="22"/>
        </w:rPr>
        <w:t xml:space="preserve">    4.1–4.8  Architecture, Grid, Agents, CBS-TA, TSWAP, ECBS, Statistics, Visualization ..25</w:t>
      </w:r>
    </w:p>
    <w:p>
      <w:pPr>
        <w:spacing w:after="100" w:before="60"/>
        <w:jc w:val="both"/>
      </w:pPr>
      <w:r>
        <w:rPr>
          <w:rFonts w:ascii="Arial" w:cs="Arial" w:eastAsia="Arial" w:hAnsi="Arial"/>
          <w:sz w:val="22"/>
          <w:szCs w:val="22"/>
        </w:rPr>
        <w:t xml:space="preserve">5.  Statistical and Experimental Methodology ..................................................................32</w:t>
      </w:r>
    </w:p>
    <w:p>
      <w:pPr>
        <w:spacing w:after="100" w:before="60"/>
        <w:jc w:val="both"/>
      </w:pPr>
      <w:r>
        <w:rPr>
          <w:rFonts w:ascii="Arial" w:cs="Arial" w:eastAsia="Arial" w:hAnsi="Arial"/>
          <w:sz w:val="22"/>
          <w:szCs w:val="22"/>
        </w:rPr>
        <w:t xml:space="preserve">    5.1  Monte Carlo Simulation: Foundations and Theory .................................................32</w:t>
      </w:r>
    </w:p>
    <w:p>
      <w:pPr>
        <w:spacing w:after="100" w:before="60"/>
        <w:jc w:val="both"/>
      </w:pPr>
      <w:r>
        <w:rPr>
          <w:rFonts w:ascii="Arial" w:cs="Arial" w:eastAsia="Arial" w:hAnsi="Arial"/>
          <w:sz w:val="22"/>
          <w:szCs w:val="22"/>
        </w:rPr>
        <w:t xml:space="preserve">    5.2  Convergence Diagnostics ......................................................................................38</w:t>
      </w:r>
    </w:p>
    <w:p>
      <w:pPr>
        <w:spacing w:after="100" w:before="60"/>
        <w:jc w:val="both"/>
      </w:pPr>
      <w:r>
        <w:rPr>
          <w:rFonts w:ascii="Arial" w:cs="Arial" w:eastAsia="Arial" w:hAnsi="Arial"/>
          <w:sz w:val="22"/>
          <w:szCs w:val="22"/>
        </w:rPr>
        <w:t xml:space="preserve">    5.3–5.8  Statistical Tests, Normality, CI Selection, Cohen's d, Power, Sample Size ......39</w:t>
      </w:r>
    </w:p>
    <w:p>
      <w:pPr>
        <w:spacing w:after="100" w:before="60"/>
        <w:jc w:val="both"/>
      </w:pPr>
      <w:r>
        <w:rPr>
          <w:rFonts w:ascii="Arial" w:cs="Arial" w:eastAsia="Arial" w:hAnsi="Arial"/>
          <w:sz w:val="22"/>
          <w:szCs w:val="22"/>
        </w:rPr>
        <w:t xml:space="preserve">    5.9  Pre-Run Validation Protocol — Figure 4: MC Flowchart ......................................44</w:t>
      </w:r>
    </w:p>
    <w:p>
      <w:pPr>
        <w:spacing w:after="100" w:before="60"/>
        <w:jc w:val="both"/>
      </w:pPr>
      <w:r>
        <w:rPr>
          <w:rFonts w:ascii="Arial" w:cs="Arial" w:eastAsia="Arial" w:hAnsi="Arial"/>
          <w:sz w:val="22"/>
          <w:szCs w:val="22"/>
        </w:rPr>
        <w:t xml:space="preserve">    5.10  Validation Summary — Table 1 &amp; Figure 5: Effect Size Chart ...........................46</w:t>
      </w:r>
    </w:p>
    <w:p>
      <w:pPr>
        <w:spacing w:after="100" w:before="60"/>
        <w:jc w:val="both"/>
      </w:pPr>
      <w:r>
        <w:rPr>
          <w:rFonts w:ascii="Arial" w:cs="Arial" w:eastAsia="Arial" w:hAnsi="Arial"/>
          <w:sz w:val="22"/>
          <w:szCs w:val="22"/>
        </w:rPr>
        <w:t xml:space="preserve">    5.11  Evaluation Metrics ............................................................................................48</w:t>
      </w:r>
    </w:p>
    <w:p>
      <w:pPr>
        <w:spacing w:after="100" w:before="60"/>
        <w:jc w:val="both"/>
      </w:pPr>
      <w:r>
        <w:rPr>
          <w:rFonts w:ascii="Arial" w:cs="Arial" w:eastAsia="Arial" w:hAnsi="Arial"/>
          <w:sz w:val="22"/>
          <w:szCs w:val="22"/>
        </w:rPr>
        <w:t xml:space="preserve">6.  Results and Analysis .................................................................................................49</w:t>
      </w:r>
    </w:p>
    <w:p>
      <w:pPr>
        <w:spacing w:after="100" w:before="60"/>
        <w:jc w:val="both"/>
      </w:pPr>
      <w:r>
        <w:rPr>
          <w:rFonts w:ascii="Arial" w:cs="Arial" w:eastAsia="Arial" w:hAnsi="Arial"/>
          <w:sz w:val="22"/>
          <w:szCs w:val="22"/>
        </w:rPr>
        <w:t xml:space="preserve">    6.1  Scalability Analysis — Table 2 ............................................................................49</w:t>
      </w:r>
    </w:p>
    <w:p>
      <w:pPr>
        <w:spacing w:after="100" w:before="60"/>
        <w:jc w:val="both"/>
      </w:pPr>
      <w:r>
        <w:rPr>
          <w:rFonts w:ascii="Arial" w:cs="Arial" w:eastAsia="Arial" w:hAnsi="Arial"/>
          <w:sz w:val="22"/>
          <w:szCs w:val="22"/>
        </w:rPr>
        <w:t xml:space="preserve">    6.2  Agent Density Analysis — Table 3 .......................................................................52</w:t>
      </w:r>
    </w:p>
    <w:p>
      <w:pPr>
        <w:spacing w:after="100" w:before="60"/>
        <w:jc w:val="both"/>
      </w:pPr>
      <w:r>
        <w:rPr>
          <w:rFonts w:ascii="Arial" w:cs="Arial" w:eastAsia="Arial" w:hAnsi="Arial"/>
          <w:sz w:val="22"/>
          <w:szCs w:val="22"/>
        </w:rPr>
        <w:t xml:space="preserve">    6.3  Dispersion Analysis ............................................................................................55</w:t>
      </w:r>
    </w:p>
    <w:p>
      <w:pPr>
        <w:spacing w:after="100" w:before="60"/>
        <w:jc w:val="both"/>
      </w:pPr>
      <w:r>
        <w:rPr>
          <w:rFonts w:ascii="Arial" w:cs="Arial" w:eastAsia="Arial" w:hAnsi="Arial"/>
          <w:sz w:val="22"/>
          <w:szCs w:val="22"/>
        </w:rPr>
        <w:t xml:space="preserve">    6.4  Comprehensive Comparison — Table 5 .................................................................57</w:t>
      </w:r>
    </w:p>
    <w:p>
      <w:pPr>
        <w:spacing w:after="100" w:before="60"/>
        <w:jc w:val="both"/>
      </w:pPr>
      <w:r>
        <w:rPr>
          <w:rFonts w:ascii="Arial" w:cs="Arial" w:eastAsia="Arial" w:hAnsi="Arial"/>
          <w:sz w:val="22"/>
          <w:szCs w:val="22"/>
        </w:rPr>
        <w:t xml:space="preserve">7.  Discussion ...............................................................................................................59</w:t>
      </w:r>
    </w:p>
    <w:p>
      <w:pPr>
        <w:spacing w:after="100" w:before="60"/>
        <w:jc w:val="both"/>
      </w:pPr>
      <w:r>
        <w:rPr>
          <w:rFonts w:ascii="Arial" w:cs="Arial" w:eastAsia="Arial" w:hAnsi="Arial"/>
          <w:sz w:val="22"/>
          <w:szCs w:val="22"/>
        </w:rPr>
        <w:t xml:space="preserve">    7.1  Effect Size Progression and Operational Significance ..........................................59</w:t>
      </w:r>
    </w:p>
    <w:p>
      <w:pPr>
        <w:spacing w:after="100" w:before="60"/>
        <w:jc w:val="both"/>
      </w:pPr>
      <w:r>
        <w:rPr>
          <w:rFonts w:ascii="Arial" w:cs="Arial" w:eastAsia="Arial" w:hAnsi="Arial"/>
          <w:sz w:val="22"/>
          <w:szCs w:val="22"/>
        </w:rPr>
        <w:t xml:space="preserve">    7.2  Bootstrap CI vs. t-Distribution: Methodological Impact .......................................60</w:t>
      </w:r>
    </w:p>
    <w:p>
      <w:pPr>
        <w:spacing w:after="100" w:before="60"/>
        <w:jc w:val="both"/>
      </w:pPr>
      <w:r>
        <w:rPr>
          <w:rFonts w:ascii="Arial" w:cs="Arial" w:eastAsia="Arial" w:hAnsi="Arial"/>
          <w:sz w:val="22"/>
          <w:szCs w:val="22"/>
        </w:rPr>
        <w:t xml:space="preserve">    7.3  Comparison with Published Benchmark Results — Tables 6–8 ............................61</w:t>
      </w:r>
    </w:p>
    <w:p>
      <w:pPr>
        <w:spacing w:after="100" w:before="60"/>
        <w:jc w:val="both"/>
      </w:pPr>
      <w:r>
        <w:rPr>
          <w:rFonts w:ascii="Arial" w:cs="Arial" w:eastAsia="Arial" w:hAnsi="Arial"/>
          <w:sz w:val="22"/>
          <w:szCs w:val="22"/>
        </w:rPr>
        <w:t xml:space="preserve">    7.4  Phase Transition and Structural Intractability ......................................................66</w:t>
      </w:r>
    </w:p>
    <w:p>
      <w:pPr>
        <w:spacing w:after="100" w:before="60"/>
        <w:jc w:val="both"/>
      </w:pPr>
      <w:r>
        <w:rPr>
          <w:rFonts w:ascii="Arial" w:cs="Arial" w:eastAsia="Arial" w:hAnsi="Arial"/>
          <w:sz w:val="22"/>
          <w:szCs w:val="22"/>
        </w:rPr>
        <w:t xml:space="preserve">    7.5  Limitations .........................................................................................................67</w:t>
      </w:r>
    </w:p>
    <w:p>
      <w:pPr>
        <w:spacing w:after="100" w:before="60"/>
        <w:jc w:val="both"/>
      </w:pPr>
      <w:r>
        <w:rPr>
          <w:rFonts w:ascii="Arial" w:cs="Arial" w:eastAsia="Arial" w:hAnsi="Arial"/>
          <w:sz w:val="22"/>
          <w:szCs w:val="22"/>
        </w:rPr>
        <w:t xml:space="preserve">8.  Conclusions and Future Work .....................................................................................68</w:t>
      </w:r>
    </w:p>
    <w:p>
      <w:pPr>
        <w:spacing w:after="100" w:before="60"/>
        <w:jc w:val="both"/>
      </w:pPr>
      <w:r>
        <w:rPr>
          <w:rFonts w:ascii="Arial" w:cs="Arial" w:eastAsia="Arial" w:hAnsi="Arial"/>
          <w:sz w:val="22"/>
          <w:szCs w:val="22"/>
        </w:rPr>
        <w:t xml:space="preserve">References ......................................................................................................................72</w:t>
      </w:r>
    </w:p>
    <w:p>
      <w:r>
        <w:br w:type="page"/>
      </w:r>
    </w:p>
    <w:p>
      <w:pPr>
        <w:pStyle w:val="Heading1"/>
        <w:pBdr>
          <w:bottom w:val="single" w:color="1F3864" w:sz="6" w:space="1"/>
        </w:pBdr>
        <w:spacing w:after="180" w:before="360"/>
      </w:pPr>
      <w:r>
        <w:rPr>
          <w:rFonts w:ascii="Arial" w:cs="Arial" w:eastAsia="Arial" w:hAnsi="Arial"/>
          <w:b/>
          <w:bCs/>
          <w:sz w:val="32"/>
          <w:szCs w:val="32"/>
        </w:rPr>
        <w:t xml:space="preserve">1. Introduction</w:t>
      </w:r>
    </w:p>
    <w:p>
      <w:pPr>
        <w:spacing w:after="100" w:before="60"/>
        <w:jc w:val="both"/>
      </w:pPr>
      <w:r>
        <w:rPr>
          <w:rFonts w:ascii="Arial" w:cs="Arial" w:eastAsia="Arial" w:hAnsi="Arial"/>
          <w:sz w:val="22"/>
          <w:szCs w:val="22"/>
        </w:rPr>
        <w:t xml:space="preserve">The coordination of multiple autonomous agents navigating a shared environment is one of the most practically consequential challenges in modern artificial intelligence and robotics. Applications range from automated warehouse logistics—where hundreds of mobile robots move inventory pods without collision—to robot soccer, aerial drone coordination, and semiconductor fabrication automation. In all domains, two tightly coupled sub-problems must be solved simultaneously: task assignment (which agent goes where?) and path planning (how does each agent get there without colliding with others?).</w:t>
      </w:r>
    </w:p>
    <w:p>
      <w:pPr>
        <w:spacing w:after="100" w:before="60"/>
        <w:jc w:val="both"/>
      </w:pPr>
      <w:r>
        <w:rPr>
          <w:rFonts w:ascii="Arial" w:cs="Arial" w:eastAsia="Arial" w:hAnsi="Arial"/>
          <w:sz w:val="22"/>
          <w:szCs w:val="22"/>
        </w:rPr>
        <w:t xml:space="preserve">Historical practice treats these sequentially: assign tasks optimally using the Hungarian method (Kuhn, 1955), then plan collision-free paths for the fixed assignment using MAPF algorithms. Hönig et al. (2018) demonstrated rigorously that this decoupling is suboptimal: for certain problem configurations, the sequentially-optimal assignment forces agents into avoidable conflicts, inflating total travel cost by 25% or more. This motivates CBS-TA, which solves both sub-problems simultaneously. Okumura &amp; Défago (2022) proposed TSWAP as a scalable sub-optimal alternative that resolves conflicts through adaptive target reassignment rather than constraint propagation.</w:t>
      </w:r>
    </w:p>
    <w:p>
      <w:pPr>
        <w:spacing w:after="100" w:before="60"/>
        <w:jc w:val="both"/>
      </w:pPr>
      <w:r>
        <w:rPr>
          <w:rFonts w:ascii="Arial" w:cs="Arial" w:eastAsia="Arial" w:hAnsi="Arial"/>
          <w:sz w:val="22"/>
          <w:szCs w:val="22"/>
        </w:rPr>
        <w:t xml:space="preserve">A critical methodological contribution of this report is the deployment of a pre-run validation framework: each experimental configuration undergoes pilot studies, sample size determination (95% CI, ±10 SIC margin), power analysis (80% power, Cohen's d), and Shapiro-Wilk-driven CI method selection (t-distribution for normal data, bootstrap with B=5,000 resamples for non-normal data). This ensures that every reported confidence interval is statistically justified and that sample sizes are adequate for the observed effect sizes. Section 7.3 provides a direct comparison of our results against the published benchmarks in both source papers.</w:t>
      </w:r>
    </w:p>
    <w:p>
      <w:pPr>
        <w:pStyle w:val="Heading2"/>
        <w:spacing w:after="140" w:before="300"/>
      </w:pPr>
      <w:r>
        <w:rPr>
          <w:rFonts w:ascii="Arial" w:cs="Arial" w:eastAsia="Arial" w:hAnsi="Arial"/>
          <w:b/>
          <w:bCs/>
          <w:sz w:val="28"/>
          <w:szCs w:val="28"/>
        </w:rPr>
        <w:t xml:space="preserve">1.1 Problem Statement</w:t>
      </w:r>
    </w:p>
    <w:p>
      <w:pPr>
        <w:spacing w:after="100" w:before="60"/>
        <w:jc w:val="both"/>
      </w:pPr>
      <w:r>
        <w:rPr>
          <w:rFonts w:ascii="Arial" w:cs="Arial" w:eastAsia="Arial" w:hAnsi="Arial"/>
          <w:sz w:val="22"/>
          <w:szCs w:val="22"/>
        </w:rPr>
        <w:t xml:space="preserve">The TAPF problem is defined over a connected undirected graph G=(V,E) with N agents at starts S={s₁,…,sN}⊆V and M goals G={g₁,…,gM}⊆V. An N×M binary assignment matrix A specifies feasibility. The objective is to simultaneously determine a valid assignment and collision-free paths minimising the Sum of Individual Costs (SIC)=Σᵢ Tᵢ, where Tᵢ is the first timestep at which agent i arrives at and permanently remains at its goal. In our experiments G is a 4-connected two-dimensional grid with random obstacles and fully anonymous assignment (A=1).</w:t>
      </w:r>
    </w:p>
    <w:p>
      <w:pPr>
        <w:pStyle w:val="Heading2"/>
        <w:spacing w:after="140" w:before="300"/>
      </w:pPr>
      <w:r>
        <w:rPr>
          <w:rFonts w:ascii="Arial" w:cs="Arial" w:eastAsia="Arial" w:hAnsi="Arial"/>
          <w:b/>
          <w:bCs/>
          <w:sz w:val="28"/>
          <w:szCs w:val="28"/>
        </w:rPr>
        <w:t xml:space="preserve">1.2 Research Questions</w:t>
      </w:r>
    </w:p>
    <w:p>
      <w:pPr>
        <w:pStyle w:val="ListParagraph"/>
        <w:numPr>
          <w:ilvl w:val="0"/>
          <w:numId w:val="2"/>
        </w:numPr>
        <w:spacing w:after="40" w:before="40"/>
      </w:pPr>
      <w:r>
        <w:rPr>
          <w:rFonts w:ascii="Arial" w:cs="Arial" w:eastAsia="Arial" w:hAnsi="Arial"/>
          <w:sz w:val="22"/>
          <w:szCs w:val="22"/>
        </w:rPr>
        <w:t xml:space="preserve">How do CBS-TA, TSWAP, and ECBS compare in success rate and SIC across the scalability range 20×20/20 agents to 60×60/100 agents, with bootstrap or t-CIs as appropriate?</w:t>
      </w:r>
    </w:p>
    <w:p>
      <w:pPr>
        <w:pStyle w:val="ListParagraph"/>
        <w:numPr>
          <w:ilvl w:val="0"/>
          <w:numId w:val="2"/>
        </w:numPr>
        <w:spacing w:after="40" w:before="40"/>
      </w:pPr>
      <w:r>
        <w:rPr>
          <w:rFonts w:ascii="Arial" w:cs="Arial" w:eastAsia="Arial" w:hAnsi="Arial"/>
          <w:sz w:val="22"/>
          <w:szCs w:val="22"/>
        </w:rPr>
        <w:t xml:space="preserve">How does the Cohen's d effect size between TSWAP and ECBS evolve from 20 to 80 agents, and what does this quantify about practical deployment decisions?</w:t>
      </w:r>
    </w:p>
    <w:p>
      <w:pPr>
        <w:pStyle w:val="ListParagraph"/>
        <w:numPr>
          <w:ilvl w:val="0"/>
          <w:numId w:val="2"/>
        </w:numPr>
        <w:spacing w:after="40" w:before="40"/>
      </w:pPr>
      <w:r>
        <w:rPr>
          <w:rFonts w:ascii="Arial" w:cs="Arial" w:eastAsia="Arial" w:hAnsi="Arial"/>
          <w:sz w:val="22"/>
          <w:szCs w:val="22"/>
        </w:rPr>
        <w:t xml:space="preserve">How do our Monte Carlo results compare quantitatively and qualitatively with the published C++ benchmarks of Hönig et al. (2018) and Okumura &amp; Défago (2022), and what discrepancies can be explained by implementation differences?</w:t>
      </w:r>
    </w:p>
    <w:p>
      <w:pPr>
        <w:pStyle w:val="ListParagraph"/>
        <w:numPr>
          <w:ilvl w:val="0"/>
          <w:numId w:val="2"/>
        </w:numPr>
        <w:spacing w:after="40" w:before="40"/>
      </w:pPr>
      <w:r>
        <w:rPr>
          <w:rFonts w:ascii="Arial" w:cs="Arial" w:eastAsia="Arial" w:hAnsi="Arial"/>
          <w:sz w:val="22"/>
          <w:szCs w:val="22"/>
        </w:rPr>
        <w:t xml:space="preserve">When is the bootstrap CI necessary (non-normal data) vs the t-distribution CI (normal data), and what does CI width reveal about algorithm reliability?</w:t>
      </w:r>
    </w:p>
    <w:p>
      <w:pPr>
        <w:spacing w:after="60" w:before="60"/>
      </w:pPr>
      <w:r>
        <w:t xml:space="preserve"/>
      </w:r>
    </w:p>
    <w:p>
      <w:pPr>
        <w:pStyle w:val="Heading2"/>
        <w:spacing w:after="140" w:before="300"/>
      </w:pPr>
      <w:r>
        <w:rPr>
          <w:rFonts w:ascii="Arial" w:cs="Arial" w:eastAsia="Arial" w:hAnsi="Arial"/>
          <w:b/>
          <w:bCs/>
          <w:sz w:val="28"/>
          <w:szCs w:val="28"/>
        </w:rPr>
        <w:t xml:space="preserve">1.3 Aims</w:t>
      </w:r>
    </w:p>
    <w:p>
      <w:pPr>
        <w:pStyle w:val="ListParagraph"/>
        <w:numPr>
          <w:ilvl w:val="0"/>
          <w:numId w:val="3"/>
        </w:numPr>
        <w:spacing w:after="40" w:before="40"/>
      </w:pPr>
      <w:r>
        <w:rPr>
          <w:rFonts w:ascii="Arial" w:cs="Arial" w:eastAsia="Arial" w:hAnsi="Arial"/>
          <w:sz w:val="22"/>
          <w:szCs w:val="22"/>
        </w:rPr>
        <w:t xml:space="preserve">Implement CBS-TA, TSWAP, and ECBS in Python with pre-run validation framework.</w:t>
      </w:r>
    </w:p>
    <w:p>
      <w:pPr>
        <w:pStyle w:val="ListParagraph"/>
        <w:numPr>
          <w:ilvl w:val="0"/>
          <w:numId w:val="3"/>
        </w:numPr>
        <w:spacing w:after="40" w:before="40"/>
      </w:pPr>
      <w:r>
        <w:rPr>
          <w:rFonts w:ascii="Arial" w:cs="Arial" w:eastAsia="Arial" w:hAnsi="Arial"/>
          <w:sz w:val="22"/>
          <w:szCs w:val="22"/>
        </w:rPr>
        <w:t xml:space="preserve">Conduct Monte Carlo experiments with pilot-validated sample sizes and Shapiro-Wilk CI selection.</w:t>
      </w:r>
    </w:p>
    <w:p>
      <w:pPr>
        <w:pStyle w:val="ListParagraph"/>
        <w:numPr>
          <w:ilvl w:val="0"/>
          <w:numId w:val="3"/>
        </w:numPr>
        <w:spacing w:after="40" w:before="40"/>
      </w:pPr>
      <w:r>
        <w:rPr>
          <w:rFonts w:ascii="Arial" w:cs="Arial" w:eastAsia="Arial" w:hAnsi="Arial"/>
          <w:sz w:val="22"/>
          <w:szCs w:val="22"/>
        </w:rPr>
        <w:t xml:space="preserve">Quantify TSWAP vs ECBS quality gap via Cohen's d across agent densities.</w:t>
      </w:r>
    </w:p>
    <w:p>
      <w:pPr>
        <w:pStyle w:val="ListParagraph"/>
        <w:numPr>
          <w:ilvl w:val="0"/>
          <w:numId w:val="3"/>
        </w:numPr>
        <w:spacing w:after="40" w:before="40"/>
      </w:pPr>
      <w:r>
        <w:rPr>
          <w:rFonts w:ascii="Arial" w:cs="Arial" w:eastAsia="Arial" w:hAnsi="Arial"/>
          <w:sz w:val="22"/>
          <w:szCs w:val="22"/>
        </w:rPr>
        <w:t xml:space="preserve">Provide a structured comparison of our results against source paper benchmarks, identifying consistent findings and explaining discrepancies.</w:t>
      </w:r>
    </w:p>
    <w:p>
      <w:pPr>
        <w:pStyle w:val="ListParagraph"/>
        <w:numPr>
          <w:ilvl w:val="0"/>
          <w:numId w:val="3"/>
        </w:numPr>
        <w:spacing w:after="40" w:before="40"/>
      </w:pPr>
      <w:r>
        <w:rPr>
          <w:rFonts w:ascii="Arial" w:cs="Arial" w:eastAsia="Arial" w:hAnsi="Arial"/>
          <w:sz w:val="22"/>
          <w:szCs w:val="22"/>
        </w:rPr>
        <w:t xml:space="preserve">Formulate APA-cited conclusions with deployment guidelines backed by statistical evidence.</w:t>
      </w:r>
    </w:p>
    <w:p>
      <w:pPr>
        <w:spacing w:after="60" w:before="60"/>
      </w:pPr>
      <w:r>
        <w:t xml:space="preserve"/>
      </w:r>
    </w:p>
    <w:p>
      <w:pPr>
        <w:pStyle w:val="Heading2"/>
        <w:spacing w:after="140" w:before="300"/>
      </w:pPr>
      <w:r>
        <w:rPr>
          <w:rFonts w:ascii="Arial" w:cs="Arial" w:eastAsia="Arial" w:hAnsi="Arial"/>
          <w:b/>
          <w:bCs/>
          <w:sz w:val="28"/>
          <w:szCs w:val="28"/>
        </w:rPr>
        <w:t xml:space="preserve">1.4 Significance</w:t>
      </w:r>
    </w:p>
    <w:p>
      <w:pPr>
        <w:spacing w:after="100" w:before="60"/>
        <w:jc w:val="both"/>
      </w:pPr>
      <w:r>
        <w:rPr>
          <w:rFonts w:ascii="Arial" w:cs="Arial" w:eastAsia="Arial" w:hAnsi="Arial"/>
          <w:sz w:val="22"/>
          <w:szCs w:val="22"/>
        </w:rPr>
        <w:t xml:space="preserve">This study advances MAPF benchmarking practice through: (1) pre-run validation replacing arbitrary sample size choices with statistically justified n; (2) bootstrap CI providing accurate intervals for non-normal distributions arising from CBS-TA and ECBS at high density; (3) Cohen's d quantifying the practical significance of quality gaps, distinguishing negligible (d&lt;0.2) from operationally critical (d&gt;0.8) differences; and (4) a structured comparison with source paper results that contextualises Python-based findings within the published C++ benchmark landscape.</w:t>
      </w:r>
    </w:p>
    <w:p>
      <w:r>
        <w:br w:type="page"/>
      </w:r>
    </w:p>
    <w:p>
      <w:pPr>
        <w:pStyle w:val="Heading1"/>
        <w:pBdr>
          <w:bottom w:val="single" w:color="1F3864" w:sz="6" w:space="1"/>
        </w:pBdr>
        <w:spacing w:after="180" w:before="360"/>
      </w:pPr>
      <w:r>
        <w:rPr>
          <w:rFonts w:ascii="Arial" w:cs="Arial" w:eastAsia="Arial" w:hAnsi="Arial"/>
          <w:b/>
          <w:bCs/>
          <w:sz w:val="32"/>
          <w:szCs w:val="32"/>
        </w:rPr>
        <w:t xml:space="preserve">2. Background and Related Work</w:t>
      </w:r>
    </w:p>
    <w:p>
      <w:pPr>
        <w:pStyle w:val="Heading2"/>
        <w:spacing w:after="140" w:before="300"/>
      </w:pPr>
      <w:r>
        <w:rPr>
          <w:rFonts w:ascii="Arial" w:cs="Arial" w:eastAsia="Arial" w:hAnsi="Arial"/>
          <w:b/>
          <w:bCs/>
          <w:sz w:val="28"/>
          <w:szCs w:val="28"/>
        </w:rPr>
        <w:t xml:space="preserve">2.1 MAPF: Definitions and Variants</w:t>
      </w:r>
    </w:p>
    <w:p>
      <w:pPr>
        <w:spacing w:after="100" w:before="60"/>
        <w:jc w:val="both"/>
      </w:pPr>
      <w:r>
        <w:rPr>
          <w:rFonts w:ascii="Arial" w:cs="Arial" w:eastAsia="Arial" w:hAnsi="Arial"/>
          <w:sz w:val="22"/>
          <w:szCs w:val="22"/>
        </w:rPr>
        <w:t xml:space="preserve">Multi-Agent Path Finding (MAPF) is formalized over graph G=(V,E) with N agents having starts sᵢ and goals gᵢ. Paths πᵢ=[vᵢ₀,…,vᵢ_{Tᵢ}] must satisfy valid start, valid goal, valid actions (move or wait), no vertex collisions (two agents at same cell same timestep), and no swap collisions (agents traversing same edge opposite directions same timestep). Objective functions: makespan (max Tᵢ) and SIC (Σᵢ Tᵢ); these are provably incompatible in general (Yu &amp; LaValle, 2013b). MAPF under SIC is NP-hard (Surynek, 2010). Unlabeled MAPF is always solvable (Kornhauser et al., 1984) and makespan-optimal in polynomial time via network flow (Yu &amp; LaValle, 2013a), but scalable sub-optimal approaches remain practically necessary.</w:t>
      </w:r>
    </w:p>
    <w:p>
      <w:pPr>
        <w:pStyle w:val="Heading2"/>
        <w:spacing w:after="140" w:before="300"/>
      </w:pPr>
      <w:r>
        <w:rPr>
          <w:rFonts w:ascii="Arial" w:cs="Arial" w:eastAsia="Arial" w:hAnsi="Arial"/>
          <w:b/>
          <w:bCs/>
          <w:sz w:val="28"/>
          <w:szCs w:val="28"/>
        </w:rPr>
        <w:t xml:space="preserve">2.2 Labeled MAPF and Key Algorithms</w:t>
      </w:r>
    </w:p>
    <w:p>
      <w:pPr>
        <w:spacing w:after="100" w:before="60"/>
        <w:jc w:val="both"/>
      </w:pPr>
      <w:r>
        <w:rPr>
          <w:rFonts w:ascii="Arial" w:cs="Arial" w:eastAsia="Arial" w:hAnsi="Arial"/>
          <w:sz w:val="22"/>
          <w:szCs w:val="22"/>
        </w:rPr>
        <w:t xml:space="preserve">CBS (Sharon et al., 2015) is the most influential optimal MAPF algorithm: two-level design with constraint tree at high level and space-time A* at low level; complete and SIC-optimal. ECBS (Barer et al., 2014) extends CBS to bounded sub-optimality via focal search (FOCAL list contains OPEN nodes within factor w of best lower bound, ordered by inadmissible conflict heuristic), guaranteeing SIC ≤ w×C*. M* (Wagner &amp; Choset, 2011) couples search spaces only upon collision—effective at low density. Push-and-Rotate (de Wilde et al., 2014) resolves conflicts through push and rotate operations, conceptually related to TSWAP's deadlock resolution.</w:t>
      </w:r>
    </w:p>
    <w:p>
      <w:pPr>
        <w:pStyle w:val="Heading2"/>
        <w:spacing w:after="140" w:before="300"/>
      </w:pPr>
      <w:r>
        <w:rPr>
          <w:rFonts w:ascii="Arial" w:cs="Arial" w:eastAsia="Arial" w:hAnsi="Arial"/>
          <w:b/>
          <w:bCs/>
          <w:sz w:val="28"/>
          <w:szCs w:val="28"/>
        </w:rPr>
        <w:t xml:space="preserve">2.3 Unlabeled MAPF and CBS-TA</w:t>
      </w:r>
    </w:p>
    <w:p>
      <w:pPr>
        <w:spacing w:after="100" w:before="60"/>
        <w:jc w:val="both"/>
      </w:pPr>
      <w:r>
        <w:rPr>
          <w:rFonts w:ascii="Arial" w:cs="Arial" w:eastAsia="Arial" w:hAnsi="Arial"/>
          <w:sz w:val="22"/>
          <w:szCs w:val="22"/>
        </w:rPr>
        <w:t xml:space="preserve">CBS-TA (Hönig et al., 2018) extends CBS to SIC-optimal joint task assignment and path planning via a dynamically constructed search forest over assignments, with new root nodes generated on demand by Murty's (1968) k-best enumeration. The polynomial-time makespan-optimal network flow algorithm (Yu &amp; LaValle, 2013a) builds time-expanded network NT with O(|V|×T) vertices; for 60×60 with T≈100 this yields 360,000 nodes, motivating TSWAP as a scalable alternative. TSWAP (Okumura &amp; Défago, 2022) resolves conflicts through adaptive target swapping and deadlock rotation rather than CBS constraint propagation, achieving 100% success with O(N×diam(G)) makespan bounds.</w:t>
      </w:r>
    </w:p>
    <w:p>
      <w:pPr>
        <w:pStyle w:val="Heading2"/>
        <w:spacing w:after="140" w:before="300"/>
      </w:pPr>
      <w:r>
        <w:rPr>
          <w:rFonts w:ascii="Arial" w:cs="Arial" w:eastAsia="Arial" w:hAnsi="Arial"/>
          <w:b/>
          <w:bCs/>
          <w:sz w:val="28"/>
          <w:szCs w:val="28"/>
        </w:rPr>
        <w:t xml:space="preserve">2.4 Conflict-Based Search: Structural Analysis</w:t>
      </w:r>
    </w:p>
    <w:p>
      <w:pPr>
        <w:spacing w:after="100" w:before="60"/>
        <w:jc w:val="both"/>
      </w:pPr>
      <w:r>
        <w:rPr>
          <w:rFonts w:ascii="Arial" w:cs="Arial" w:eastAsia="Arial" w:hAnsi="Arial"/>
          <w:sz w:val="22"/>
          <w:szCs w:val="22"/>
        </w:rPr>
        <w:t xml:space="preserve">CBS's exponential worst-case complexity stems from binary constraint-tree branching: every conflict creates two children. At high agent density (~5% of free cells), the tree grows exponentially before finding a conflict-free solution. Empirically, CBS-TA remains tractable at ~2% agent density but fails at ~5%. The phase transition (easy-to-hard) occurs between 3.5–5% density in our 40×40 experiments, consistent with satisfiability-like threshold phenomena in combinatorial search. ECBS's focal search reduces effective branching for moderate instances but cannot overcome structural bottlenecks at high density, explaining our observed success rate plateau at ~48–60%.</w:t>
      </w:r>
    </w:p>
    <w:p>
      <w:pPr>
        <w:pStyle w:val="Heading2"/>
        <w:spacing w:after="140" w:before="300"/>
      </w:pPr>
      <w:r>
        <w:rPr>
          <w:rFonts w:ascii="Arial" w:cs="Arial" w:eastAsia="Arial" w:hAnsi="Arial"/>
          <w:b/>
          <w:bCs/>
          <w:sz w:val="28"/>
          <w:szCs w:val="28"/>
        </w:rPr>
        <w:t xml:space="preserve">2.5 Related Techniques</w:t>
      </w:r>
    </w:p>
    <w:p>
      <w:pPr>
        <w:spacing w:after="100" w:before="60"/>
        <w:jc w:val="both"/>
      </w:pPr>
      <w:r>
        <w:rPr>
          <w:rFonts w:ascii="Arial" w:cs="Arial" w:eastAsia="Arial" w:hAnsi="Arial"/>
          <w:sz w:val="22"/>
          <w:szCs w:val="22"/>
        </w:rPr>
        <w:t xml:space="preserve">Hungarian Method (Kuhn, 1955): O(N³) minimum-cost bipartite matching, providing initial assignments for all algorithms. Murty's Algorithm (Murty, 1968): k-best assignment enumeration in O(N⁴) per new solution via solution-space partitioning; used by CBS-TA's search forest. Shapiro-Wilk Test (Shapiro &amp; Wilk, 1965): most powerful normality test for n≤50, used here to select t-CI vs bootstrap CI. Bootstrap CI (Efron &amp; Tibshirani, 1994): non-parametric interval estimation from B=5,000 resamples, valid for any distribution shape. Cohen's d (Cohen, 1988): standardised effect size measuring practical significance of mean differences.</w:t>
      </w:r>
    </w:p>
    <w:p>
      <w:r>
        <w:br w:type="page"/>
      </w:r>
    </w:p>
    <w:p>
      <w:pPr>
        <w:pStyle w:val="Heading1"/>
        <w:pBdr>
          <w:bottom w:val="single" w:color="1F3864" w:sz="6" w:space="1"/>
        </w:pBdr>
        <w:spacing w:after="180" w:before="360"/>
      </w:pPr>
      <w:r>
        <w:rPr>
          <w:rFonts w:ascii="Arial" w:cs="Arial" w:eastAsia="Arial" w:hAnsi="Arial"/>
          <w:b/>
          <w:bCs/>
          <w:sz w:val="32"/>
          <w:szCs w:val="32"/>
        </w:rPr>
        <w:t xml:space="preserve">3. Algorithm Descriptions and Flowcharts</w:t>
      </w:r>
    </w:p>
    <w:p>
      <w:pPr>
        <w:pStyle w:val="Heading2"/>
        <w:spacing w:after="140" w:before="300"/>
      </w:pPr>
      <w:r>
        <w:rPr>
          <w:rFonts w:ascii="Arial" w:cs="Arial" w:eastAsia="Arial" w:hAnsi="Arial"/>
          <w:b/>
          <w:bCs/>
          <w:sz w:val="28"/>
          <w:szCs w:val="28"/>
        </w:rPr>
        <w:t xml:space="preserve">3.1 CBS-TA: Conflict-Based Search with Optimal Task Assignment</w:t>
      </w:r>
    </w:p>
    <w:p>
      <w:pPr>
        <w:pStyle w:val="Heading3"/>
        <w:spacing w:after="100" w:before="240"/>
      </w:pPr>
      <w:r>
        <w:rPr>
          <w:rFonts w:ascii="Arial" w:cs="Arial" w:eastAsia="Arial" w:hAnsi="Arial"/>
          <w:b/>
          <w:bCs/>
          <w:sz w:val="26"/>
          <w:szCs w:val="26"/>
        </w:rPr>
        <w:t xml:space="preserve">3.1.1 Motivation</w:t>
      </w:r>
    </w:p>
    <w:p>
      <w:pPr>
        <w:spacing w:after="100" w:before="60"/>
        <w:jc w:val="both"/>
      </w:pPr>
      <w:r>
        <w:rPr>
          <w:rFonts w:ascii="Arial" w:cs="Arial" w:eastAsia="Arial" w:hAnsi="Arial"/>
          <w:sz w:val="22"/>
          <w:szCs w:val="22"/>
        </w:rPr>
        <w:t xml:space="preserve">CBS-TA (Hönig et al., 2018) addresses the coupling between task assignment and path planning. In the canonical example from that paper: two agents in a corridor where the Hungarian-optimal assignment (ignoring conflicts) forces one agent to detour through an alley at SIC=8, while an alternative assignment allows both to travel directly at SIC=6. No decoupled approach discovers this 25% improvement. The frequency of this coupling grows with agent density, confirmed empirically by our results: CBS-TA's SIC is 7–17% lower than TSWAP's (which uses a fixed initial assignment) in our experiments.</w:t>
      </w:r>
    </w:p>
    <w:p>
      <w:pPr>
        <w:pStyle w:val="Heading3"/>
        <w:spacing w:after="100" w:before="240"/>
      </w:pPr>
      <w:r>
        <w:rPr>
          <w:rFonts w:ascii="Arial" w:cs="Arial" w:eastAsia="Arial" w:hAnsi="Arial"/>
          <w:b/>
          <w:bCs/>
          <w:sz w:val="26"/>
          <w:szCs w:val="26"/>
        </w:rPr>
        <w:t xml:space="preserve">3.1.2 Search Forest and Algorithm Structure</w:t>
      </w:r>
    </w:p>
    <w:p>
      <w:pPr>
        <w:spacing w:after="100" w:before="60"/>
        <w:jc w:val="both"/>
      </w:pPr>
      <w:r>
        <w:rPr>
          <w:rFonts w:ascii="Arial" w:cs="Arial" w:eastAsia="Arial" w:hAnsi="Arial"/>
          <w:sz w:val="22"/>
          <w:szCs w:val="22"/>
        </w:rPr>
        <w:t xml:space="preserve">CBS-TA replaces CBS's single constraint tree with a lazily-constructed search forest: each tree represents one fixed task assignment. Initialization: Hungarian-optimal assignment on cost matrix Cᵢⱼ=dist(sᵢ,gⱼ) creates root R₁ with individually-optimal A* paths. Expansion: when a root node P is selected from OPEN, CBS-TA simultaneously generates the next-best assignment via Murty's algorithm (new root R_new, inserted into OPEN) and resolves the earliest conflict by creating two child nodes Q₁, Q₂ with additional constraints. Low-level search: A* in space-time graph with Bessel-corrected shortest-path heuristic, per-call timeout min(5s, total_timeout/(N+1)). Optimality follows from: (1) every CT-node SIC lower-bounds reachable solutions; (2) best-first expansion guarantees the first conflict-free solution is globally optimal (Hönig et al., 2018, Theorems 4.1–4.2).</w:t>
      </w:r>
    </w:p>
    <w:p>
      <w:pPr>
        <w:spacing w:after="60" w:before="60"/>
      </w:pPr>
      <w:r>
        <w:t xml:space="preserve"/>
      </w:r>
    </w:p>
    <w:p>
      <w:pPr>
        <w:pStyle w:val="Heading3"/>
        <w:spacing w:after="100" w:before="240"/>
      </w:pPr>
      <w:r>
        <w:rPr>
          <w:rFonts w:ascii="Arial" w:cs="Arial" w:eastAsia="Arial" w:hAnsi="Arial"/>
          <w:b/>
          <w:bCs/>
          <w:sz w:val="26"/>
          <w:szCs w:val="26"/>
        </w:rPr>
        <w:t xml:space="preserve">3.1.3 Flowchart</w:t>
      </w:r>
    </w:p>
    <w:p>
      <w:pPr>
        <w:spacing w:after="180" w:before="100"/>
        <w:jc w:val="center"/>
      </w:pPr>
      <w:r>
        <w:rPr>
          <w:rFonts w:ascii="Arial" w:cs="Arial" w:eastAsia="Arial" w:hAnsi="Arial"/>
          <w:b/>
          <w:bCs/>
          <w:i/>
          <w:iCs/>
          <w:sz w:val="20"/>
          <w:szCs w:val="20"/>
        </w:rPr>
        <w:t xml:space="preserve">Figure 1. CBS-TA High-Level Algorithm Flowchart</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900"/>
      </w:tblGrid>
      <w:tr>
        <w:tc>
          <w:tcPr>
            <w:tcW w:type="dxa" w:w="900"/>
            <w:tcBorders>
              <w:top w:val="none" w:color="FFFFFF" w:sz="0"/>
              <w:left w:val="none" w:color="FFFFFF" w:sz="0"/>
              <w:bottom w:val="none" w:color="FFFFFF" w:sz="0"/>
              <w:right w:val="none" w:color="FFFFFF" w:sz="0"/>
            </w:tcBorders>
          </w:tcPr>
          <w:p/>
        </w:tc>
        <w:tc>
          <w:tcPr>
            <w:tcW w:type="dxa" w:w="4700"/>
            <w:tcBorders>
              <w:top w:val="single" w:color="1F3864" w:sz="3"/>
              <w:left w:val="single" w:color="1F3864" w:sz="3"/>
              <w:bottom w:val="single" w:color="1F3864" w:sz="3"/>
              <w:right w:val="single" w:color="1F3864" w:sz="3"/>
            </w:tcBorders>
            <w:shd w:fill="1F3864" w:val="clear"/>
            <w:tcMar>
              <w:top w:type="dxa" w:w="120"/>
              <w:left w:type="dxa" w:w="200"/>
              <w:bottom w:type="dxa" w:w="120"/>
              <w:right w:type="dxa" w:w="200"/>
            </w:tcMar>
          </w:tcPr>
          <w:p>
            <w:pPr>
              <w:jc w:val="center"/>
            </w:pPr>
            <w:r>
              <w:rPr>
                <w:rFonts w:ascii="Arial" w:cs="Arial" w:eastAsia="Arial" w:hAnsi="Arial"/>
                <w:b/>
                <w:bCs/>
                <w:color w:val="FFFFFF"/>
                <w:sz w:val="20"/>
                <w:szCs w:val="20"/>
              </w:rPr>
              <w:t xml:space="preserve">START: CBS-TA</w:t>
            </w:r>
          </w:p>
        </w:tc>
        <w:tc>
          <w:tcPr>
            <w:tcW w:type="dxa" w:w="900"/>
            <w:tcBorders>
              <w:top w:val="none" w:color="FFFFFF" w:sz="0"/>
              <w:left w:val="none" w:color="FFFFFF" w:sz="0"/>
              <w:bottom w:val="none" w:color="FFFFFF" w:sz="0"/>
              <w:right w:val="none" w:color="FFFFFF" w:sz="0"/>
            </w:tcBorders>
          </w:tcPr>
          <w:p/>
        </w:tc>
      </w:tr>
    </w:tbl>
    <w:p>
      <w:pPr>
        <w:spacing w:after="40" w:before="40"/>
        <w:jc w:val="center"/>
      </w:pPr>
      <w:r>
        <w:rPr>
          <w:rFonts w:ascii="Arial" w:cs="Arial" w:eastAsia="Arial" w:hAnsi="Arial"/>
          <w:b/>
          <w:bCs/>
          <w:color w:val="2E4057"/>
          <w:sz w:val="22"/>
          <w:szCs w:val="22"/>
        </w:rPr>
        <w:t xml:space="preserve">↓</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900"/>
      </w:tblGrid>
      <w:tr>
        <w:tc>
          <w:tcPr>
            <w:tcW w:type="dxa" w:w="900"/>
            <w:tcBorders>
              <w:top w:val="none" w:color="FFFFFF" w:sz="0"/>
              <w:left w:val="none" w:color="FFFFFF" w:sz="0"/>
              <w:bottom w:val="none" w:color="FFFFFF" w:sz="0"/>
              <w:right w:val="none" w:color="FFFFFF" w:sz="0"/>
            </w:tcBorders>
          </w:tcPr>
          <w:p/>
        </w:tc>
        <w:tc>
          <w:tcPr>
            <w:tcW w:type="dxa" w:w="4700"/>
            <w:tcBorders>
              <w:top w:val="single" w:color="4A90D9" w:sz="3"/>
              <w:left w:val="single" w:color="4A90D9" w:sz="3"/>
              <w:bottom w:val="single" w:color="4A90D9" w:sz="3"/>
              <w:right w:val="single" w:color="4A90D9" w:sz="3"/>
            </w:tcBorders>
            <w:shd w:fill="E8F5E9" w:val="clear"/>
            <w:tcMar>
              <w:top w:type="dxa" w:w="120"/>
              <w:left w:type="dxa" w:w="200"/>
              <w:bottom w:type="dxa" w:w="120"/>
              <w:right w:type="dxa" w:w="200"/>
            </w:tcMar>
          </w:tcPr>
          <w:p>
            <w:pPr>
              <w:jc w:val="center"/>
            </w:pPr>
            <w:r>
              <w:rPr>
                <w:rFonts w:ascii="Arial" w:cs="Arial" w:eastAsia="Arial" w:hAnsi="Arial"/>
                <w:b w:val="false"/>
                <w:bCs w:val="false"/>
                <w:color w:val="000000"/>
                <w:sz w:val="20"/>
                <w:szCs w:val="20"/>
              </w:rPr>
              <w:t xml:space="preserve">Compute BFS distance matrix C
Cᵢⱼ = dist(sᵢ, gⱼ) for all agent-goal pairs</w:t>
            </w:r>
          </w:p>
        </w:tc>
        <w:tc>
          <w:tcPr>
            <w:tcW w:type="dxa" w:w="900"/>
            <w:tcBorders>
              <w:top w:val="none" w:color="FFFFFF" w:sz="0"/>
              <w:left w:val="none" w:color="FFFFFF" w:sz="0"/>
              <w:bottom w:val="none" w:color="FFFFFF" w:sz="0"/>
              <w:right w:val="none" w:color="FFFFFF" w:sz="0"/>
            </w:tcBorders>
          </w:tcPr>
          <w:p/>
        </w:tc>
      </w:tr>
    </w:tbl>
    <w:p>
      <w:pPr>
        <w:spacing w:after="40" w:before="40"/>
        <w:jc w:val="center"/>
      </w:pPr>
      <w:r>
        <w:rPr>
          <w:rFonts w:ascii="Arial" w:cs="Arial" w:eastAsia="Arial" w:hAnsi="Arial"/>
          <w:b/>
          <w:bCs/>
          <w:color w:val="2E4057"/>
          <w:sz w:val="22"/>
          <w:szCs w:val="22"/>
        </w:rPr>
        <w:t xml:space="preserve">↓</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900"/>
      </w:tblGrid>
      <w:tr>
        <w:tc>
          <w:tcPr>
            <w:tcW w:type="dxa" w:w="900"/>
            <w:tcBorders>
              <w:top w:val="none" w:color="FFFFFF" w:sz="0"/>
              <w:left w:val="none" w:color="FFFFFF" w:sz="0"/>
              <w:bottom w:val="none" w:color="FFFFFF" w:sz="0"/>
              <w:right w:val="none" w:color="FFFFFF" w:sz="0"/>
            </w:tcBorders>
          </w:tcPr>
          <w:p/>
        </w:tc>
        <w:tc>
          <w:tcPr>
            <w:tcW w:type="dxa" w:w="4700"/>
            <w:tcBorders>
              <w:top w:val="single" w:color="4A90D9" w:sz="3"/>
              <w:left w:val="single" w:color="4A90D9" w:sz="3"/>
              <w:bottom w:val="single" w:color="4A90D9" w:sz="3"/>
              <w:right w:val="single" w:color="4A90D9" w:sz="3"/>
            </w:tcBorders>
            <w:shd w:fill="D5E8F0" w:val="clear"/>
            <w:tcMar>
              <w:top w:type="dxa" w:w="120"/>
              <w:left w:type="dxa" w:w="200"/>
              <w:bottom w:type="dxa" w:w="120"/>
              <w:right w:type="dxa" w:w="200"/>
            </w:tcMar>
          </w:tcPr>
          <w:p>
            <w:pPr>
              <w:jc w:val="center"/>
            </w:pPr>
            <w:r>
              <w:rPr>
                <w:rFonts w:ascii="Arial" w:cs="Arial" w:eastAsia="Arial" w:hAnsi="Arial"/>
                <w:b w:val="false"/>
                <w:bCs w:val="false"/>
                <w:color w:val="000000"/>
                <w:sz w:val="20"/>
                <w:szCs w:val="20"/>
              </w:rPr>
              <w:t xml:space="preserve">firstAssignment(C) → Hungarian-optimal task assignment
Insert root R₁ into OPEN and ASG_OPEN</w:t>
            </w:r>
          </w:p>
        </w:tc>
        <w:tc>
          <w:tcPr>
            <w:tcW w:type="dxa" w:w="900"/>
            <w:tcBorders>
              <w:top w:val="none" w:color="FFFFFF" w:sz="0"/>
              <w:left w:val="none" w:color="FFFFFF" w:sz="0"/>
              <w:bottom w:val="none" w:color="FFFFFF" w:sz="0"/>
              <w:right w:val="none" w:color="FFFFFF" w:sz="0"/>
            </w:tcBorders>
          </w:tcPr>
          <w:p/>
        </w:tc>
      </w:tr>
    </w:tbl>
    <w:p>
      <w:pPr>
        <w:spacing w:after="40" w:before="40"/>
        <w:jc w:val="center"/>
      </w:pPr>
      <w:r>
        <w:rPr>
          <w:rFonts w:ascii="Arial" w:cs="Arial" w:eastAsia="Arial" w:hAnsi="Arial"/>
          <w:b/>
          <w:bCs/>
          <w:color w:val="2E4057"/>
          <w:sz w:val="22"/>
          <w:szCs w:val="22"/>
        </w:rPr>
        <w:t xml:space="preserve">↓</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900"/>
      </w:tblGrid>
      <w:tr>
        <w:tc>
          <w:tcPr>
            <w:tcW w:type="dxa" w:w="900"/>
            <w:tcBorders>
              <w:top w:val="none" w:color="FFFFFF" w:sz="0"/>
              <w:left w:val="none" w:color="FFFFFF" w:sz="0"/>
              <w:bottom w:val="none" w:color="FFFFFF" w:sz="0"/>
              <w:right w:val="none" w:color="FFFFFF" w:sz="0"/>
            </w:tcBorders>
          </w:tcPr>
          <w:p/>
        </w:tc>
        <w:tc>
          <w:tcPr>
            <w:tcW w:type="dxa" w:w="4700"/>
            <w:tcBorders>
              <w:top w:val="single" w:color="4A90D9" w:sz="3"/>
              <w:left w:val="single" w:color="4A90D9" w:sz="3"/>
              <w:bottom w:val="single" w:color="4A90D9" w:sz="3"/>
              <w:right w:val="single" w:color="4A90D9" w:sz="3"/>
            </w:tcBorders>
            <w:shd w:fill="D5E8F0" w:val="clear"/>
            <w:tcMar>
              <w:top w:type="dxa" w:w="120"/>
              <w:left w:type="dxa" w:w="200"/>
              <w:bottom w:type="dxa" w:w="120"/>
              <w:right w:type="dxa" w:w="200"/>
            </w:tcMar>
          </w:tcPr>
          <w:p>
            <w:pPr>
              <w:jc w:val="center"/>
            </w:pPr>
            <w:r>
              <w:rPr>
                <w:rFonts w:ascii="Arial" w:cs="Arial" w:eastAsia="Arial" w:hAnsi="Arial"/>
                <w:b w:val="false"/>
                <w:bCs w:val="false"/>
                <w:color w:val="000000"/>
                <w:sz w:val="20"/>
                <w:szCs w:val="20"/>
              </w:rPr>
              <w:t xml:space="preserve">Plan unconstrained individual A* paths
Compute SIC cost of initial solution</w:t>
            </w:r>
          </w:p>
        </w:tc>
        <w:tc>
          <w:tcPr>
            <w:tcW w:type="dxa" w:w="900"/>
            <w:tcBorders>
              <w:top w:val="none" w:color="FFFFFF" w:sz="0"/>
              <w:left w:val="none" w:color="FFFFFF" w:sz="0"/>
              <w:bottom w:val="none" w:color="FFFFFF" w:sz="0"/>
              <w:right w:val="none" w:color="FFFFFF" w:sz="0"/>
            </w:tcBorders>
          </w:tcPr>
          <w:p/>
        </w:tc>
      </w:tr>
    </w:tbl>
    <w:p>
      <w:pPr>
        <w:spacing w:after="40" w:before="40"/>
        <w:jc w:val="center"/>
      </w:pPr>
      <w:r>
        <w:rPr>
          <w:rFonts w:ascii="Arial" w:cs="Arial" w:eastAsia="Arial" w:hAnsi="Arial"/>
          <w:b/>
          <w:bCs/>
          <w:color w:val="2E4057"/>
          <w:sz w:val="22"/>
          <w:szCs w:val="22"/>
        </w:rPr>
        <w:t xml:space="preserve">↓</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900"/>
      </w:tblGrid>
      <w:tr>
        <w:tc>
          <w:tcPr>
            <w:tcW w:type="dxa" w:w="900"/>
            <w:tcBorders>
              <w:top w:val="none" w:color="FFFFFF" w:sz="0"/>
              <w:left w:val="none" w:color="FFFFFF" w:sz="0"/>
              <w:bottom w:val="none" w:color="FFFFFF" w:sz="0"/>
              <w:right w:val="none" w:color="FFFFFF" w:sz="0"/>
            </w:tcBorders>
          </w:tcPr>
          <w:p/>
        </w:tc>
        <w:tc>
          <w:tcPr>
            <w:tcW w:type="dxa" w:w="4700"/>
            <w:tcBorders>
              <w:top w:val="single" w:color="C79B00" w:sz="3"/>
              <w:left w:val="single" w:color="C79B00" w:sz="3"/>
              <w:bottom w:val="single" w:color="C79B00" w:sz="3"/>
              <w:right w:val="single" w:color="C79B00" w:sz="3"/>
            </w:tcBorders>
            <w:shd w:fill="FFF2CC" w:val="clear"/>
            <w:tcMar>
              <w:top w:type="dxa" w:w="120"/>
              <w:left w:type="dxa" w:w="200"/>
              <w:bottom w:type="dxa" w:w="120"/>
              <w:right w:type="dxa" w:w="200"/>
            </w:tcMar>
          </w:tcPr>
          <w:p>
            <w:pPr>
              <w:jc w:val="center"/>
            </w:pPr>
            <w:r>
              <w:rPr>
                <w:rFonts w:ascii="Arial" w:cs="Arial" w:eastAsia="Arial" w:hAnsi="Arial"/>
                <w:b/>
                <w:bCs/>
                <w:color w:val="000000"/>
                <w:sz w:val="20"/>
                <w:szCs w:val="20"/>
              </w:rPr>
              <w:t xml:space="preserve">OPEN is empty?</w:t>
            </w:r>
          </w:p>
        </w:tc>
        <w:tc>
          <w:tcPr>
            <w:tcW w:type="dxa" w:w="900"/>
            <w:tcBorders>
              <w:top w:val="none" w:color="FFFFFF" w:sz="0"/>
              <w:left w:val="none" w:color="FFFFFF" w:sz="0"/>
              <w:bottom w:val="none" w:color="FFFFFF" w:sz="0"/>
              <w:right w:val="none" w:color="FFFFFF" w:sz="0"/>
            </w:tcBorders>
          </w:tcPr>
          <w:p/>
        </w:tc>
      </w:tr>
    </w:tbl>
    <w:p>
      <w:pPr>
        <w:spacing w:after="40" w:before="40"/>
        <w:jc w:val="center"/>
      </w:pPr>
      <w:r>
        <w:rPr>
          <w:rFonts w:ascii="Arial" w:cs="Arial" w:eastAsia="Arial" w:hAnsi="Arial"/>
          <w:b/>
          <w:bCs/>
          <w:color w:val="2E4057"/>
          <w:sz w:val="22"/>
          <w:szCs w:val="22"/>
        </w:rPr>
        <w:t xml:space="preserve">↓</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500"/>
        <w:gridCol w:w="3000"/>
        <w:gridCol w:w="500"/>
      </w:tblGrid>
      <w:tr>
        <w:tc>
          <w:tcPr>
            <w:tcW w:type="dxa" w:w="500"/>
            <w:tcBorders>
              <w:top w:val="none" w:color="FFFFFF" w:sz="0"/>
              <w:left w:val="none" w:color="FFFFFF" w:sz="0"/>
              <w:bottom w:val="none" w:color="FFFFFF" w:sz="0"/>
              <w:right w:val="none" w:color="FFFFFF" w:sz="0"/>
            </w:tcBorders>
          </w:tcPr>
          <w:p/>
        </w:tc>
        <w:tc>
          <w:tcPr>
            <w:tcW w:type="dxa" w:w="3000"/>
            <w:tcBorders>
              <w:top w:val="single" w:color="AAAAAA" w:sz="1"/>
              <w:left w:val="single" w:color="AAAAAA" w:sz="1"/>
              <w:bottom w:val="single" w:color="AAAAAA" w:sz="1"/>
              <w:right w:val="single" w:color="AAAAAA" w:sz="1"/>
            </w:tcBorders>
            <w:shd w:fill="E8F5E9" w:val="clear"/>
            <w:tcMar>
              <w:top w:type="dxa" w:w="100"/>
              <w:left w:type="dxa" w:w="160"/>
              <w:bottom w:type="dxa" w:w="100"/>
              <w:right w:type="dxa" w:w="160"/>
            </w:tcMar>
          </w:tcPr>
          <w:p>
            <w:pPr>
              <w:jc w:val="center"/>
            </w:pPr>
            <w:r>
              <w:rPr>
                <w:rFonts w:ascii="Arial" w:cs="Arial" w:eastAsia="Arial" w:hAnsi="Arial"/>
                <w:b/>
                <w:bCs/>
                <w:color w:val="2E4057"/>
                <w:sz w:val="18"/>
                <w:szCs w:val="18"/>
              </w:rPr>
              <w:t xml:space="preserve">YES →</w:t>
            </w:r>
          </w:p>
          <w:p>
            <w:pPr>
              <w:jc w:val="center"/>
            </w:pPr>
            <w:r>
              <w:rPr>
                <w:rFonts w:ascii="Arial" w:cs="Arial" w:eastAsia="Arial" w:hAnsi="Arial"/>
                <w:sz w:val="18"/>
                <w:szCs w:val="18"/>
              </w:rPr>
              <w:t xml:space="preserve">Return No Solution</w:t>
            </w:r>
          </w:p>
        </w:tc>
        <w:tc>
          <w:tcPr>
            <w:tcW w:type="dxa" w:w="500"/>
            <w:tcBorders>
              <w:top w:val="none" w:color="FFFFFF" w:sz="0"/>
              <w:left w:val="none" w:color="FFFFFF" w:sz="0"/>
              <w:bottom w:val="none" w:color="FFFFFF" w:sz="0"/>
              <w:right w:val="none" w:color="FFFFFF" w:sz="0"/>
            </w:tcBorders>
          </w:tcPr>
          <w:p>
            <w:pPr>
              <w:jc w:val="center"/>
            </w:pPr>
            <w:r>
              <w:rPr>
                <w:rFonts w:ascii="Arial" w:cs="Arial" w:eastAsia="Arial" w:hAnsi="Arial"/>
                <w:b/>
                <w:bCs/>
                <w:color w:val="999999"/>
                <w:sz w:val="22"/>
                <w:szCs w:val="22"/>
              </w:rPr>
              <w:t xml:space="preserve">↔</w:t>
            </w:r>
          </w:p>
        </w:tc>
        <w:tc>
          <w:tcPr>
            <w:tcW w:type="dxa" w:w="3000"/>
            <w:tcBorders>
              <w:top w:val="single" w:color="AAAAAA" w:sz="1"/>
              <w:left w:val="single" w:color="AAAAAA" w:sz="1"/>
              <w:bottom w:val="single" w:color="AAAAAA" w:sz="1"/>
              <w:right w:val="single" w:color="AAAAAA" w:sz="1"/>
            </w:tcBorders>
            <w:shd w:fill="FFE5E5" w:val="clear"/>
            <w:tcMar>
              <w:top w:type="dxa" w:w="100"/>
              <w:left w:type="dxa" w:w="160"/>
              <w:bottom w:type="dxa" w:w="100"/>
              <w:right w:type="dxa" w:w="160"/>
            </w:tcMar>
          </w:tcPr>
          <w:p>
            <w:pPr>
              <w:jc w:val="center"/>
            </w:pPr>
            <w:r>
              <w:rPr>
                <w:rFonts w:ascii="Arial" w:cs="Arial" w:eastAsia="Arial" w:hAnsi="Arial"/>
                <w:b/>
                <w:bCs/>
                <w:color w:val="2E4057"/>
                <w:sz w:val="18"/>
                <w:szCs w:val="18"/>
              </w:rPr>
              <w:t xml:space="preserve">NO ↓</w:t>
            </w:r>
          </w:p>
          <w:p>
            <w:pPr>
              <w:jc w:val="center"/>
            </w:pPr>
            <w:r>
              <w:rPr>
                <w:rFonts w:ascii="Arial" w:cs="Arial" w:eastAsia="Arial" w:hAnsi="Arial"/>
                <w:sz w:val="18"/>
                <w:szCs w:val="18"/>
              </w:rPr>
              <w:t xml:space="preserve">Pop P = lowest-cost node from OPEN</w:t>
            </w:r>
          </w:p>
        </w:tc>
        <w:tc>
          <w:tcPr>
            <w:tcW w:type="dxa" w:w="500"/>
            <w:tcBorders>
              <w:top w:val="none" w:color="FFFFFF" w:sz="0"/>
              <w:left w:val="none" w:color="FFFFFF" w:sz="0"/>
              <w:bottom w:val="none" w:color="FFFFFF" w:sz="0"/>
              <w:right w:val="none" w:color="FFFFFF" w:sz="0"/>
            </w:tcBorders>
          </w:tcPr>
          <w:p/>
        </w:tc>
      </w:tr>
    </w:tbl>
    <w:p>
      <w:pPr>
        <w:spacing w:after="40" w:before="40"/>
        <w:jc w:val="center"/>
      </w:pPr>
      <w:r>
        <w:rPr>
          <w:rFonts w:ascii="Arial" w:cs="Arial" w:eastAsia="Arial" w:hAnsi="Arial"/>
          <w:b/>
          <w:bCs/>
          <w:color w:val="2E4057"/>
          <w:sz w:val="22"/>
          <w:szCs w:val="22"/>
        </w:rPr>
        <w:t xml:space="preserve">↓</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900"/>
      </w:tblGrid>
      <w:tr>
        <w:tc>
          <w:tcPr>
            <w:tcW w:type="dxa" w:w="900"/>
            <w:tcBorders>
              <w:top w:val="none" w:color="FFFFFF" w:sz="0"/>
              <w:left w:val="none" w:color="FFFFFF" w:sz="0"/>
              <w:bottom w:val="none" w:color="FFFFFF" w:sz="0"/>
              <w:right w:val="none" w:color="FFFFFF" w:sz="0"/>
            </w:tcBorders>
          </w:tcPr>
          <w:p/>
        </w:tc>
        <w:tc>
          <w:tcPr>
            <w:tcW w:type="dxa" w:w="4700"/>
            <w:tcBorders>
              <w:top w:val="single" w:color="C79B00" w:sz="3"/>
              <w:left w:val="single" w:color="C79B00" w:sz="3"/>
              <w:bottom w:val="single" w:color="C79B00" w:sz="3"/>
              <w:right w:val="single" w:color="C79B00" w:sz="3"/>
            </w:tcBorders>
            <w:shd w:fill="FFF2CC" w:val="clear"/>
            <w:tcMar>
              <w:top w:type="dxa" w:w="120"/>
              <w:left w:type="dxa" w:w="200"/>
              <w:bottom w:type="dxa" w:w="120"/>
              <w:right w:type="dxa" w:w="200"/>
            </w:tcMar>
          </w:tcPr>
          <w:p>
            <w:pPr>
              <w:jc w:val="center"/>
            </w:pPr>
            <w:r>
              <w:rPr>
                <w:rFonts w:ascii="Arial" w:cs="Arial" w:eastAsia="Arial" w:hAnsi="Arial"/>
                <w:b/>
                <w:bCs/>
                <w:color w:val="000000"/>
                <w:sz w:val="20"/>
                <w:szCs w:val="20"/>
              </w:rPr>
              <w:t xml:space="preserve">P is a root node?</w:t>
            </w:r>
          </w:p>
        </w:tc>
        <w:tc>
          <w:tcPr>
            <w:tcW w:type="dxa" w:w="900"/>
            <w:tcBorders>
              <w:top w:val="none" w:color="FFFFFF" w:sz="0"/>
              <w:left w:val="none" w:color="FFFFFF" w:sz="0"/>
              <w:bottom w:val="none" w:color="FFFFFF" w:sz="0"/>
              <w:right w:val="none" w:color="FFFFFF" w:sz="0"/>
            </w:tcBorders>
          </w:tcPr>
          <w:p/>
        </w:tc>
      </w:tr>
    </w:tbl>
    <w:p>
      <w:pPr>
        <w:spacing w:after="40" w:before="40"/>
        <w:jc w:val="center"/>
      </w:pPr>
      <w:r>
        <w:rPr>
          <w:rFonts w:ascii="Arial" w:cs="Arial" w:eastAsia="Arial" w:hAnsi="Arial"/>
          <w:b/>
          <w:bCs/>
          <w:color w:val="2E4057"/>
          <w:sz w:val="22"/>
          <w:szCs w:val="22"/>
        </w:rPr>
        <w:t xml:space="preserve">↓</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500"/>
        <w:gridCol w:w="3000"/>
        <w:gridCol w:w="500"/>
      </w:tblGrid>
      <w:tr>
        <w:tc>
          <w:tcPr>
            <w:tcW w:type="dxa" w:w="500"/>
            <w:tcBorders>
              <w:top w:val="none" w:color="FFFFFF" w:sz="0"/>
              <w:left w:val="none" w:color="FFFFFF" w:sz="0"/>
              <w:bottom w:val="none" w:color="FFFFFF" w:sz="0"/>
              <w:right w:val="none" w:color="FFFFFF" w:sz="0"/>
            </w:tcBorders>
          </w:tcPr>
          <w:p/>
        </w:tc>
        <w:tc>
          <w:tcPr>
            <w:tcW w:type="dxa" w:w="3000"/>
            <w:tcBorders>
              <w:top w:val="single" w:color="AAAAAA" w:sz="1"/>
              <w:left w:val="single" w:color="AAAAAA" w:sz="1"/>
              <w:bottom w:val="single" w:color="AAAAAA" w:sz="1"/>
              <w:right w:val="single" w:color="AAAAAA" w:sz="1"/>
            </w:tcBorders>
            <w:shd w:fill="E8F5E9" w:val="clear"/>
            <w:tcMar>
              <w:top w:type="dxa" w:w="100"/>
              <w:left w:type="dxa" w:w="160"/>
              <w:bottom w:type="dxa" w:w="100"/>
              <w:right w:type="dxa" w:w="160"/>
            </w:tcMar>
          </w:tcPr>
          <w:p>
            <w:pPr>
              <w:jc w:val="center"/>
            </w:pPr>
            <w:r>
              <w:rPr>
                <w:rFonts w:ascii="Arial" w:cs="Arial" w:eastAsia="Arial" w:hAnsi="Arial"/>
                <w:b/>
                <w:bCs/>
                <w:color w:val="2E4057"/>
                <w:sz w:val="18"/>
                <w:szCs w:val="18"/>
              </w:rPr>
              <w:t xml:space="preserve">YES →</w:t>
            </w:r>
          </w:p>
          <w:p>
            <w:pPr>
              <w:jc w:val="center"/>
            </w:pPr>
            <w:r>
              <w:rPr>
                <w:rFonts w:ascii="Arial" w:cs="Arial" w:eastAsia="Arial" w:hAnsi="Arial"/>
                <w:sz w:val="18"/>
                <w:szCs w:val="18"/>
              </w:rPr>
              <w:t xml:space="preserve">nextAssignment() via Murty k-best
Create R_new → Insert into OPEN</w:t>
            </w:r>
          </w:p>
        </w:tc>
        <w:tc>
          <w:tcPr>
            <w:tcW w:type="dxa" w:w="500"/>
            <w:tcBorders>
              <w:top w:val="none" w:color="FFFFFF" w:sz="0"/>
              <w:left w:val="none" w:color="FFFFFF" w:sz="0"/>
              <w:bottom w:val="none" w:color="FFFFFF" w:sz="0"/>
              <w:right w:val="none" w:color="FFFFFF" w:sz="0"/>
            </w:tcBorders>
          </w:tcPr>
          <w:p>
            <w:pPr>
              <w:jc w:val="center"/>
            </w:pPr>
            <w:r>
              <w:rPr>
                <w:rFonts w:ascii="Arial" w:cs="Arial" w:eastAsia="Arial" w:hAnsi="Arial"/>
                <w:b/>
                <w:bCs/>
                <w:color w:val="999999"/>
                <w:sz w:val="22"/>
                <w:szCs w:val="22"/>
              </w:rPr>
              <w:t xml:space="preserve">↔</w:t>
            </w:r>
          </w:p>
        </w:tc>
        <w:tc>
          <w:tcPr>
            <w:tcW w:type="dxa" w:w="3000"/>
            <w:tcBorders>
              <w:top w:val="single" w:color="AAAAAA" w:sz="1"/>
              <w:left w:val="single" w:color="AAAAAA" w:sz="1"/>
              <w:bottom w:val="single" w:color="AAAAAA" w:sz="1"/>
              <w:right w:val="single" w:color="AAAAAA" w:sz="1"/>
            </w:tcBorders>
            <w:shd w:fill="FFE5E5" w:val="clear"/>
            <w:tcMar>
              <w:top w:type="dxa" w:w="100"/>
              <w:left w:type="dxa" w:w="160"/>
              <w:bottom w:type="dxa" w:w="100"/>
              <w:right w:type="dxa" w:w="160"/>
            </w:tcMar>
          </w:tcPr>
          <w:p>
            <w:pPr>
              <w:jc w:val="center"/>
            </w:pPr>
            <w:r>
              <w:rPr>
                <w:rFonts w:ascii="Arial" w:cs="Arial" w:eastAsia="Arial" w:hAnsi="Arial"/>
                <w:b/>
                <w:bCs/>
                <w:color w:val="2E4057"/>
                <w:sz w:val="18"/>
                <w:szCs w:val="18"/>
              </w:rPr>
              <w:t xml:space="preserve">NO ↓</w:t>
            </w:r>
          </w:p>
          <w:p>
            <w:pPr>
              <w:jc w:val="center"/>
            </w:pPr>
            <w:r>
              <w:rPr>
                <w:rFonts w:ascii="Arial" w:cs="Arial" w:eastAsia="Arial" w:hAnsi="Arial"/>
                <w:sz w:val="18"/>
                <w:szCs w:val="18"/>
              </w:rPr>
              <w:t xml:space="preserve">Proceed to conflict detection</w:t>
            </w:r>
          </w:p>
        </w:tc>
        <w:tc>
          <w:tcPr>
            <w:tcW w:type="dxa" w:w="500"/>
            <w:tcBorders>
              <w:top w:val="none" w:color="FFFFFF" w:sz="0"/>
              <w:left w:val="none" w:color="FFFFFF" w:sz="0"/>
              <w:bottom w:val="none" w:color="FFFFFF" w:sz="0"/>
              <w:right w:val="none" w:color="FFFFFF" w:sz="0"/>
            </w:tcBorders>
          </w:tcPr>
          <w:p/>
        </w:tc>
      </w:tr>
    </w:tbl>
    <w:p>
      <w:pPr>
        <w:spacing w:after="40" w:before="40"/>
        <w:jc w:val="center"/>
      </w:pPr>
      <w:r>
        <w:rPr>
          <w:rFonts w:ascii="Arial" w:cs="Arial" w:eastAsia="Arial" w:hAnsi="Arial"/>
          <w:b/>
          <w:bCs/>
          <w:color w:val="2E4057"/>
          <w:sz w:val="22"/>
          <w:szCs w:val="22"/>
        </w:rPr>
        <w:t xml:space="preserve">↓</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900"/>
      </w:tblGrid>
      <w:tr>
        <w:tc>
          <w:tcPr>
            <w:tcW w:type="dxa" w:w="900"/>
            <w:tcBorders>
              <w:top w:val="none" w:color="FFFFFF" w:sz="0"/>
              <w:left w:val="none" w:color="FFFFFF" w:sz="0"/>
              <w:bottom w:val="none" w:color="FFFFFF" w:sz="0"/>
              <w:right w:val="none" w:color="FFFFFF" w:sz="0"/>
            </w:tcBorders>
          </w:tcPr>
          <w:p/>
        </w:tc>
        <w:tc>
          <w:tcPr>
            <w:tcW w:type="dxa" w:w="4700"/>
            <w:tcBorders>
              <w:top w:val="single" w:color="4A90D9" w:sz="3"/>
              <w:left w:val="single" w:color="4A90D9" w:sz="3"/>
              <w:bottom w:val="single" w:color="4A90D9" w:sz="3"/>
              <w:right w:val="single" w:color="4A90D9" w:sz="3"/>
            </w:tcBorders>
            <w:shd w:fill="D5E8F0" w:val="clear"/>
            <w:tcMar>
              <w:top w:type="dxa" w:w="120"/>
              <w:left w:type="dxa" w:w="200"/>
              <w:bottom w:type="dxa" w:w="120"/>
              <w:right w:type="dxa" w:w="200"/>
            </w:tcMar>
          </w:tcPr>
          <w:p>
            <w:pPr>
              <w:jc w:val="center"/>
            </w:pPr>
            <w:r>
              <w:rPr>
                <w:rFonts w:ascii="Arial" w:cs="Arial" w:eastAsia="Arial" w:hAnsi="Arial"/>
                <w:b w:val="false"/>
                <w:bCs w:val="false"/>
                <w:color w:val="000000"/>
                <w:sz w:val="20"/>
                <w:szCs w:val="20"/>
              </w:rPr>
              <w:t xml:space="preserve">Scan P.solution → find earliest conflict (aᵢ, aⱼ, vertex v, time t)</w:t>
            </w:r>
          </w:p>
        </w:tc>
        <w:tc>
          <w:tcPr>
            <w:tcW w:type="dxa" w:w="900"/>
            <w:tcBorders>
              <w:top w:val="none" w:color="FFFFFF" w:sz="0"/>
              <w:left w:val="none" w:color="FFFFFF" w:sz="0"/>
              <w:bottom w:val="none" w:color="FFFFFF" w:sz="0"/>
              <w:right w:val="none" w:color="FFFFFF" w:sz="0"/>
            </w:tcBorders>
          </w:tcPr>
          <w:p/>
        </w:tc>
      </w:tr>
    </w:tbl>
    <w:p>
      <w:pPr>
        <w:spacing w:after="40" w:before="40"/>
        <w:jc w:val="center"/>
      </w:pPr>
      <w:r>
        <w:rPr>
          <w:rFonts w:ascii="Arial" w:cs="Arial" w:eastAsia="Arial" w:hAnsi="Arial"/>
          <w:b/>
          <w:bCs/>
          <w:color w:val="2E4057"/>
          <w:sz w:val="22"/>
          <w:szCs w:val="22"/>
        </w:rPr>
        <w:t xml:space="preserve">↓</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900"/>
      </w:tblGrid>
      <w:tr>
        <w:tc>
          <w:tcPr>
            <w:tcW w:type="dxa" w:w="900"/>
            <w:tcBorders>
              <w:top w:val="none" w:color="FFFFFF" w:sz="0"/>
              <w:left w:val="none" w:color="FFFFFF" w:sz="0"/>
              <w:bottom w:val="none" w:color="FFFFFF" w:sz="0"/>
              <w:right w:val="none" w:color="FFFFFF" w:sz="0"/>
            </w:tcBorders>
          </w:tcPr>
          <w:p/>
        </w:tc>
        <w:tc>
          <w:tcPr>
            <w:tcW w:type="dxa" w:w="4700"/>
            <w:tcBorders>
              <w:top w:val="single" w:color="C79B00" w:sz="3"/>
              <w:left w:val="single" w:color="C79B00" w:sz="3"/>
              <w:bottom w:val="single" w:color="C79B00" w:sz="3"/>
              <w:right w:val="single" w:color="C79B00" w:sz="3"/>
            </w:tcBorders>
            <w:shd w:fill="FFF2CC" w:val="clear"/>
            <w:tcMar>
              <w:top w:type="dxa" w:w="120"/>
              <w:left w:type="dxa" w:w="200"/>
              <w:bottom w:type="dxa" w:w="120"/>
              <w:right w:type="dxa" w:w="200"/>
            </w:tcMar>
          </w:tcPr>
          <w:p>
            <w:pPr>
              <w:jc w:val="center"/>
            </w:pPr>
            <w:r>
              <w:rPr>
                <w:rFonts w:ascii="Arial" w:cs="Arial" w:eastAsia="Arial" w:hAnsi="Arial"/>
                <w:b/>
                <w:bCs/>
                <w:color w:val="000000"/>
                <w:sz w:val="20"/>
                <w:szCs w:val="20"/>
              </w:rPr>
              <w:t xml:space="preserve">No conflict found?</w:t>
            </w:r>
          </w:p>
        </w:tc>
        <w:tc>
          <w:tcPr>
            <w:tcW w:type="dxa" w:w="900"/>
            <w:tcBorders>
              <w:top w:val="none" w:color="FFFFFF" w:sz="0"/>
              <w:left w:val="none" w:color="FFFFFF" w:sz="0"/>
              <w:bottom w:val="none" w:color="FFFFFF" w:sz="0"/>
              <w:right w:val="none" w:color="FFFFFF" w:sz="0"/>
            </w:tcBorders>
          </w:tcPr>
          <w:p/>
        </w:tc>
      </w:tr>
    </w:tbl>
    <w:p>
      <w:pPr>
        <w:spacing w:after="40" w:before="40"/>
        <w:jc w:val="center"/>
      </w:pPr>
      <w:r>
        <w:rPr>
          <w:rFonts w:ascii="Arial" w:cs="Arial" w:eastAsia="Arial" w:hAnsi="Arial"/>
          <w:b/>
          <w:bCs/>
          <w:color w:val="2E4057"/>
          <w:sz w:val="22"/>
          <w:szCs w:val="22"/>
        </w:rPr>
        <w:t xml:space="preserve">↓</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500"/>
        <w:gridCol w:w="3000"/>
        <w:gridCol w:w="500"/>
      </w:tblGrid>
      <w:tr>
        <w:tc>
          <w:tcPr>
            <w:tcW w:type="dxa" w:w="500"/>
            <w:tcBorders>
              <w:top w:val="none" w:color="FFFFFF" w:sz="0"/>
              <w:left w:val="none" w:color="FFFFFF" w:sz="0"/>
              <w:bottom w:val="none" w:color="FFFFFF" w:sz="0"/>
              <w:right w:val="none" w:color="FFFFFF" w:sz="0"/>
            </w:tcBorders>
          </w:tcPr>
          <w:p/>
        </w:tc>
        <w:tc>
          <w:tcPr>
            <w:tcW w:type="dxa" w:w="3000"/>
            <w:tcBorders>
              <w:top w:val="single" w:color="AAAAAA" w:sz="1"/>
              <w:left w:val="single" w:color="AAAAAA" w:sz="1"/>
              <w:bottom w:val="single" w:color="AAAAAA" w:sz="1"/>
              <w:right w:val="single" w:color="AAAAAA" w:sz="1"/>
            </w:tcBorders>
            <w:shd w:fill="E8F5E9" w:val="clear"/>
            <w:tcMar>
              <w:top w:type="dxa" w:w="100"/>
              <w:left w:type="dxa" w:w="160"/>
              <w:bottom w:type="dxa" w:w="100"/>
              <w:right w:type="dxa" w:w="160"/>
            </w:tcMar>
          </w:tcPr>
          <w:p>
            <w:pPr>
              <w:jc w:val="center"/>
            </w:pPr>
            <w:r>
              <w:rPr>
                <w:rFonts w:ascii="Arial" w:cs="Arial" w:eastAsia="Arial" w:hAnsi="Arial"/>
                <w:b/>
                <w:bCs/>
                <w:color w:val="2E4057"/>
                <w:sz w:val="18"/>
                <w:szCs w:val="18"/>
              </w:rPr>
              <w:t xml:space="preserve">YES →</w:t>
            </w:r>
          </w:p>
          <w:p>
            <w:pPr>
              <w:jc w:val="center"/>
            </w:pPr>
            <w:r>
              <w:rPr>
                <w:rFonts w:ascii="Arial" w:cs="Arial" w:eastAsia="Arial" w:hAnsi="Arial"/>
                <w:sz w:val="18"/>
                <w:szCs w:val="18"/>
              </w:rPr>
              <w:t xml:space="preserve">RETURN P.solution
✓ Globally SIC-optimal</w:t>
            </w:r>
          </w:p>
        </w:tc>
        <w:tc>
          <w:tcPr>
            <w:tcW w:type="dxa" w:w="500"/>
            <w:tcBorders>
              <w:top w:val="none" w:color="FFFFFF" w:sz="0"/>
              <w:left w:val="none" w:color="FFFFFF" w:sz="0"/>
              <w:bottom w:val="none" w:color="FFFFFF" w:sz="0"/>
              <w:right w:val="none" w:color="FFFFFF" w:sz="0"/>
            </w:tcBorders>
          </w:tcPr>
          <w:p>
            <w:pPr>
              <w:jc w:val="center"/>
            </w:pPr>
            <w:r>
              <w:rPr>
                <w:rFonts w:ascii="Arial" w:cs="Arial" w:eastAsia="Arial" w:hAnsi="Arial"/>
                <w:b/>
                <w:bCs/>
                <w:color w:val="999999"/>
                <w:sz w:val="22"/>
                <w:szCs w:val="22"/>
              </w:rPr>
              <w:t xml:space="preserve">↔</w:t>
            </w:r>
          </w:p>
        </w:tc>
        <w:tc>
          <w:tcPr>
            <w:tcW w:type="dxa" w:w="3000"/>
            <w:tcBorders>
              <w:top w:val="single" w:color="AAAAAA" w:sz="1"/>
              <w:left w:val="single" w:color="AAAAAA" w:sz="1"/>
              <w:bottom w:val="single" w:color="AAAAAA" w:sz="1"/>
              <w:right w:val="single" w:color="AAAAAA" w:sz="1"/>
            </w:tcBorders>
            <w:shd w:fill="FFE5E5" w:val="clear"/>
            <w:tcMar>
              <w:top w:type="dxa" w:w="100"/>
              <w:left w:type="dxa" w:w="160"/>
              <w:bottom w:type="dxa" w:w="100"/>
              <w:right w:type="dxa" w:w="160"/>
            </w:tcMar>
          </w:tcPr>
          <w:p>
            <w:pPr>
              <w:jc w:val="center"/>
            </w:pPr>
            <w:r>
              <w:rPr>
                <w:rFonts w:ascii="Arial" w:cs="Arial" w:eastAsia="Arial" w:hAnsi="Arial"/>
                <w:b/>
                <w:bCs/>
                <w:color w:val="2E4057"/>
                <w:sz w:val="18"/>
                <w:szCs w:val="18"/>
              </w:rPr>
              <w:t xml:space="preserve">NO ↓</w:t>
            </w:r>
          </w:p>
          <w:p>
            <w:pPr>
              <w:jc w:val="center"/>
            </w:pPr>
            <w:r>
              <w:rPr>
                <w:rFonts w:ascii="Arial" w:cs="Arial" w:eastAsia="Arial" w:hAnsi="Arial"/>
                <w:sz w:val="18"/>
                <w:szCs w:val="18"/>
              </w:rPr>
              <w:t xml:space="preserve">Create Q₁: add constraint (aᵢ,v,t), re-plan agent i
Create Q₂: add constraint (aⱼ,v,t), re-plan agent j</w:t>
            </w:r>
          </w:p>
        </w:tc>
        <w:tc>
          <w:tcPr>
            <w:tcW w:type="dxa" w:w="500"/>
            <w:tcBorders>
              <w:top w:val="none" w:color="FFFFFF" w:sz="0"/>
              <w:left w:val="none" w:color="FFFFFF" w:sz="0"/>
              <w:bottom w:val="none" w:color="FFFFFF" w:sz="0"/>
              <w:right w:val="none" w:color="FFFFFF" w:sz="0"/>
            </w:tcBorders>
          </w:tcPr>
          <w:p/>
        </w:tc>
      </w:tr>
    </w:tbl>
    <w:p>
      <w:pPr>
        <w:spacing w:after="40" w:before="40"/>
        <w:jc w:val="center"/>
      </w:pPr>
      <w:r>
        <w:rPr>
          <w:rFonts w:ascii="Arial" w:cs="Arial" w:eastAsia="Arial" w:hAnsi="Arial"/>
          <w:b/>
          <w:bCs/>
          <w:color w:val="2E4057"/>
          <w:sz w:val="22"/>
          <w:szCs w:val="22"/>
        </w:rPr>
        <w:t xml:space="preserve">↓</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900"/>
      </w:tblGrid>
      <w:tr>
        <w:tc>
          <w:tcPr>
            <w:tcW w:type="dxa" w:w="900"/>
            <w:tcBorders>
              <w:top w:val="none" w:color="FFFFFF" w:sz="0"/>
              <w:left w:val="none" w:color="FFFFFF" w:sz="0"/>
              <w:bottom w:val="none" w:color="FFFFFF" w:sz="0"/>
              <w:right w:val="none" w:color="FFFFFF" w:sz="0"/>
            </w:tcBorders>
          </w:tcPr>
          <w:p/>
        </w:tc>
        <w:tc>
          <w:tcPr>
            <w:tcW w:type="dxa" w:w="4700"/>
            <w:tcBorders>
              <w:top w:val="single" w:color="4A90D9" w:sz="3"/>
              <w:left w:val="single" w:color="4A90D9" w:sz="3"/>
              <w:bottom w:val="single" w:color="4A90D9" w:sz="3"/>
              <w:right w:val="single" w:color="4A90D9" w:sz="3"/>
            </w:tcBorders>
            <w:shd w:fill="D5E8F0" w:val="clear"/>
            <w:tcMar>
              <w:top w:type="dxa" w:w="120"/>
              <w:left w:type="dxa" w:w="200"/>
              <w:bottom w:type="dxa" w:w="120"/>
              <w:right w:type="dxa" w:w="200"/>
            </w:tcMar>
          </w:tcPr>
          <w:p>
            <w:pPr>
              <w:jc w:val="center"/>
            </w:pPr>
            <w:r>
              <w:rPr>
                <w:rFonts w:ascii="Arial" w:cs="Arial" w:eastAsia="Arial" w:hAnsi="Arial"/>
                <w:b w:val="false"/>
                <w:bCs w:val="false"/>
                <w:color w:val="000000"/>
                <w:sz w:val="20"/>
                <w:szCs w:val="20"/>
              </w:rPr>
              <w:t xml:space="preserve">Insert Q₁ and Q₂ into OPEN</w:t>
            </w:r>
          </w:p>
        </w:tc>
        <w:tc>
          <w:tcPr>
            <w:tcW w:type="dxa" w:w="900"/>
            <w:tcBorders>
              <w:top w:val="none" w:color="FFFFFF" w:sz="0"/>
              <w:left w:val="none" w:color="FFFFFF" w:sz="0"/>
              <w:bottom w:val="none" w:color="FFFFFF" w:sz="0"/>
              <w:right w:val="none" w:color="FFFFFF" w:sz="0"/>
            </w:tcBorders>
          </w:tcPr>
          <w:p/>
        </w:tc>
      </w:tr>
    </w:tbl>
    <w:p>
      <w:pPr>
        <w:spacing w:after="40" w:before="40"/>
        <w:jc w:val="center"/>
      </w:pPr>
      <w:r>
        <w:rPr>
          <w:rFonts w:ascii="Arial" w:cs="Arial" w:eastAsia="Arial" w:hAnsi="Arial"/>
          <w:b/>
          <w:bCs/>
          <w:color w:val="2E4057"/>
          <w:sz w:val="22"/>
          <w:szCs w:val="22"/>
        </w:rPr>
        <w:t xml:space="preserve">↓  ↑ back to OPEN loop</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900"/>
      </w:tblGrid>
      <w:tr>
        <w:tc>
          <w:tcPr>
            <w:tcW w:type="dxa" w:w="900"/>
            <w:tcBorders>
              <w:top w:val="none" w:color="FFFFFF" w:sz="0"/>
              <w:left w:val="none" w:color="FFFFFF" w:sz="0"/>
              <w:bottom w:val="none" w:color="FFFFFF" w:sz="0"/>
              <w:right w:val="none" w:color="FFFFFF" w:sz="0"/>
            </w:tcBorders>
          </w:tcPr>
          <w:p/>
        </w:tc>
        <w:tc>
          <w:tcPr>
            <w:tcW w:type="dxa" w:w="4700"/>
            <w:tcBorders>
              <w:top w:val="single" w:color="1F3864" w:sz="3"/>
              <w:left w:val="single" w:color="1F3864" w:sz="3"/>
              <w:bottom w:val="single" w:color="1F3864" w:sz="3"/>
              <w:right w:val="single" w:color="1F3864" w:sz="3"/>
            </w:tcBorders>
            <w:shd w:fill="1F3864" w:val="clear"/>
            <w:tcMar>
              <w:top w:type="dxa" w:w="120"/>
              <w:left w:type="dxa" w:w="200"/>
              <w:bottom w:type="dxa" w:w="120"/>
              <w:right w:type="dxa" w:w="200"/>
            </w:tcMar>
          </w:tcPr>
          <w:p>
            <w:pPr>
              <w:jc w:val="center"/>
            </w:pPr>
            <w:r>
              <w:rPr>
                <w:rFonts w:ascii="Arial" w:cs="Arial" w:eastAsia="Arial" w:hAnsi="Arial"/>
                <w:b/>
                <w:bCs/>
                <w:color w:val="FFFFFF"/>
                <w:sz w:val="20"/>
                <w:szCs w:val="20"/>
              </w:rPr>
              <w:t xml:space="preserve">END CBS-TA</w:t>
            </w:r>
          </w:p>
        </w:tc>
        <w:tc>
          <w:tcPr>
            <w:tcW w:type="dxa" w:w="900"/>
            <w:tcBorders>
              <w:top w:val="none" w:color="FFFFFF" w:sz="0"/>
              <w:left w:val="none" w:color="FFFFFF" w:sz="0"/>
              <w:bottom w:val="none" w:color="FFFFFF" w:sz="0"/>
              <w:right w:val="none" w:color="FFFFFF" w:sz="0"/>
            </w:tcBorders>
          </w:tcPr>
          <w:p/>
        </w:tc>
      </w:tr>
    </w:tbl>
    <w:p>
      <w:pPr>
        <w:spacing w:after="60" w:before="60"/>
      </w:pPr>
      <w:r>
        <w:t xml:space="preserve"/>
      </w:r>
    </w:p>
    <w:p>
      <w:r>
        <w:br w:type="page"/>
      </w:r>
    </w:p>
    <w:p>
      <w:pPr>
        <w:pStyle w:val="Heading2"/>
        <w:spacing w:after="140" w:before="300"/>
      </w:pPr>
      <w:r>
        <w:rPr>
          <w:rFonts w:ascii="Arial" w:cs="Arial" w:eastAsia="Arial" w:hAnsi="Arial"/>
          <w:b/>
          <w:bCs/>
          <w:sz w:val="28"/>
          <w:szCs w:val="28"/>
        </w:rPr>
        <w:t xml:space="preserve">3.2 TSWAP: Target-Swap Algorithm</w:t>
      </w:r>
    </w:p>
    <w:p>
      <w:pPr>
        <w:pStyle w:val="Heading3"/>
        <w:spacing w:after="100" w:before="240"/>
      </w:pPr>
      <w:r>
        <w:rPr>
          <w:rFonts w:ascii="Arial" w:cs="Arial" w:eastAsia="Arial" w:hAnsi="Arial"/>
          <w:b/>
          <w:bCs/>
          <w:sz w:val="26"/>
          <w:szCs w:val="26"/>
        </w:rPr>
        <w:t xml:space="preserve">3.2.1 Core Concept and Algorithm</w:t>
      </w:r>
    </w:p>
    <w:p>
      <w:pPr>
        <w:spacing w:after="100" w:before="60"/>
        <w:jc w:val="both"/>
      </w:pPr>
      <w:r>
        <w:rPr>
          <w:rFonts w:ascii="Arial" w:cs="Arial" w:eastAsia="Arial" w:hAnsi="Arial"/>
          <w:sz w:val="22"/>
          <w:szCs w:val="22"/>
        </w:rPr>
        <w:t xml:space="preserve">TSWAP (Okumura &amp; Défago, 2022) adapts the problem itself by reassigning targets when conflicts arise, avoiding the deep constraint trees that render CBS intractable at high density. Each timestep, every agent moves greedily toward its target via nextNode(a.v,a.g)=argmin dist(v,a.g). Conflicts trigger: (1) target swap when agent b is at its goal blocking a's path: a.g↔b.g; (2) deadlock rotation when a directed cycle A'=(aᵢ₁→…→aᵢₖ→aᵢ₁) is detected: rotate targets through the cycle. Completeness is proven via potential function φ=Σₐ{dist(a.v,a.g)+|{b:b.g∈Π(a.v,a.g)}|}: φ→0 in finite steps because every unresolved blocking must form a cycle that TSWAP's deadlock detection identifies and resolves (Okumura &amp; Défago, 2022, Theorem 1). Complexity bounds: makespan O(N×diam(G)); SIC O(N²×diam(G)).</w:t>
      </w:r>
    </w:p>
    <w:p>
      <w:pPr>
        <w:pStyle w:val="Heading3"/>
        <w:spacing w:after="100" w:before="240"/>
      </w:pPr>
      <w:r>
        <w:rPr>
          <w:rFonts w:ascii="Arial" w:cs="Arial" w:eastAsia="Arial" w:hAnsi="Arial"/>
          <w:b/>
          <w:bCs/>
          <w:sz w:val="26"/>
          <w:szCs w:val="26"/>
        </w:rPr>
        <w:t xml:space="preserve">3.2.2 Assignment Algorithms</w:t>
      </w:r>
    </w:p>
    <w:p>
      <w:pPr>
        <w:spacing w:after="100" w:before="60"/>
        <w:jc w:val="both"/>
      </w:pPr>
      <w:r>
        <w:rPr>
          <w:rFonts w:ascii="Arial" w:cs="Arial" w:eastAsia="Arial" w:hAnsi="Arial"/>
          <w:sz w:val="22"/>
          <w:szCs w:val="22"/>
        </w:rPr>
        <w:t xml:space="preserve">TSWAP accepts any initial assignment. Our implementation uses the Hungarian method (minimum-cost assignment). Okumura &amp; Défago (2022) additionally propose bottleneck assignment (Algorithm 2, minimising maximum distance) with lazy BFS evaluation, and greedy assignment with refinement (Algorithm 3, O(N(V+E))). Algorithm 2 produces better makespan; Algorithm 3 is fastest. We use the Hungarian method (equivalent to the linear assignment option in their Table 1) for a clean SIC comparison against CBS-TA.</w:t>
      </w:r>
    </w:p>
    <w:p>
      <w:pPr>
        <w:spacing w:after="60" w:before="60"/>
      </w:pPr>
      <w:r>
        <w:t xml:space="preserve"/>
      </w:r>
    </w:p>
    <w:p>
      <w:pPr>
        <w:pStyle w:val="Heading3"/>
        <w:spacing w:after="100" w:before="240"/>
      </w:pPr>
      <w:r>
        <w:rPr>
          <w:rFonts w:ascii="Arial" w:cs="Arial" w:eastAsia="Arial" w:hAnsi="Arial"/>
          <w:b/>
          <w:bCs/>
          <w:sz w:val="26"/>
          <w:szCs w:val="26"/>
        </w:rPr>
        <w:t xml:space="preserve">3.2.3 Flowchart</w:t>
      </w:r>
    </w:p>
    <w:p>
      <w:pPr>
        <w:spacing w:after="180" w:before="100"/>
        <w:jc w:val="center"/>
      </w:pPr>
      <w:r>
        <w:rPr>
          <w:rFonts w:ascii="Arial" w:cs="Arial" w:eastAsia="Arial" w:hAnsi="Arial"/>
          <w:b/>
          <w:bCs/>
          <w:i/>
          <w:iCs/>
          <w:sz w:val="20"/>
          <w:szCs w:val="20"/>
        </w:rPr>
        <w:t xml:space="preserve">Figure 2. TSWAP One-Timestep Algorithm Flowchart</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900"/>
      </w:tblGrid>
      <w:tr>
        <w:tc>
          <w:tcPr>
            <w:tcW w:type="dxa" w:w="900"/>
            <w:tcBorders>
              <w:top w:val="none" w:color="FFFFFF" w:sz="0"/>
              <w:left w:val="none" w:color="FFFFFF" w:sz="0"/>
              <w:bottom w:val="none" w:color="FFFFFF" w:sz="0"/>
              <w:right w:val="none" w:color="FFFFFF" w:sz="0"/>
            </w:tcBorders>
          </w:tcPr>
          <w:p/>
        </w:tc>
        <w:tc>
          <w:tcPr>
            <w:tcW w:type="dxa" w:w="4700"/>
            <w:tcBorders>
              <w:top w:val="single" w:color="1F3864" w:sz="3"/>
              <w:left w:val="single" w:color="1F3864" w:sz="3"/>
              <w:bottom w:val="single" w:color="1F3864" w:sz="3"/>
              <w:right w:val="single" w:color="1F3864" w:sz="3"/>
            </w:tcBorders>
            <w:shd w:fill="1F3864" w:val="clear"/>
            <w:tcMar>
              <w:top w:type="dxa" w:w="120"/>
              <w:left w:type="dxa" w:w="200"/>
              <w:bottom w:type="dxa" w:w="120"/>
              <w:right w:type="dxa" w:w="200"/>
            </w:tcMar>
          </w:tcPr>
          <w:p>
            <w:pPr>
              <w:jc w:val="center"/>
            </w:pPr>
            <w:r>
              <w:rPr>
                <w:rFonts w:ascii="Arial" w:cs="Arial" w:eastAsia="Arial" w:hAnsi="Arial"/>
                <w:b/>
                <w:bCs/>
                <w:color w:val="FFFFFF"/>
                <w:sz w:val="20"/>
                <w:szCs w:val="20"/>
              </w:rPr>
              <w:t xml:space="preserve">START: TSWAP</w:t>
            </w:r>
          </w:p>
        </w:tc>
        <w:tc>
          <w:tcPr>
            <w:tcW w:type="dxa" w:w="900"/>
            <w:tcBorders>
              <w:top w:val="none" w:color="FFFFFF" w:sz="0"/>
              <w:left w:val="none" w:color="FFFFFF" w:sz="0"/>
              <w:bottom w:val="none" w:color="FFFFFF" w:sz="0"/>
              <w:right w:val="none" w:color="FFFFFF" w:sz="0"/>
            </w:tcBorders>
          </w:tcPr>
          <w:p/>
        </w:tc>
      </w:tr>
    </w:tbl>
    <w:p>
      <w:pPr>
        <w:spacing w:after="40" w:before="40"/>
        <w:jc w:val="center"/>
      </w:pPr>
      <w:r>
        <w:rPr>
          <w:rFonts w:ascii="Arial" w:cs="Arial" w:eastAsia="Arial" w:hAnsi="Arial"/>
          <w:b/>
          <w:bCs/>
          <w:color w:val="2E4057"/>
          <w:sz w:val="22"/>
          <w:szCs w:val="22"/>
        </w:rPr>
        <w:t xml:space="preserve">↓</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900"/>
      </w:tblGrid>
      <w:tr>
        <w:tc>
          <w:tcPr>
            <w:tcW w:type="dxa" w:w="900"/>
            <w:tcBorders>
              <w:top w:val="none" w:color="FFFFFF" w:sz="0"/>
              <w:left w:val="none" w:color="FFFFFF" w:sz="0"/>
              <w:bottom w:val="none" w:color="FFFFFF" w:sz="0"/>
              <w:right w:val="none" w:color="FFFFFF" w:sz="0"/>
            </w:tcBorders>
          </w:tcPr>
          <w:p/>
        </w:tc>
        <w:tc>
          <w:tcPr>
            <w:tcW w:type="dxa" w:w="4700"/>
            <w:tcBorders>
              <w:top w:val="single" w:color="4A90D9" w:sz="3"/>
              <w:left w:val="single" w:color="4A90D9" w:sz="3"/>
              <w:bottom w:val="single" w:color="4A90D9" w:sz="3"/>
              <w:right w:val="single" w:color="4A90D9" w:sz="3"/>
            </w:tcBorders>
            <w:shd w:fill="E8F5E9" w:val="clear"/>
            <w:tcMar>
              <w:top w:type="dxa" w:w="120"/>
              <w:left w:type="dxa" w:w="200"/>
              <w:bottom w:type="dxa" w:w="120"/>
              <w:right w:type="dxa" w:w="200"/>
            </w:tcMar>
          </w:tcPr>
          <w:p>
            <w:pPr>
              <w:jc w:val="center"/>
            </w:pPr>
            <w:r>
              <w:rPr>
                <w:rFonts w:ascii="Arial" w:cs="Arial" w:eastAsia="Arial" w:hAnsi="Arial"/>
                <w:b w:val="false"/>
                <w:bCs w:val="false"/>
                <w:color w:val="000000"/>
                <w:sz w:val="20"/>
                <w:szCs w:val="20"/>
              </w:rPr>
              <w:t xml:space="preserve">Hungarian initial assignment M
Initialise: a.v ← sᵢ,  a.g ← assigned goal,  for all agents</w:t>
            </w:r>
          </w:p>
        </w:tc>
        <w:tc>
          <w:tcPr>
            <w:tcW w:type="dxa" w:w="900"/>
            <w:tcBorders>
              <w:top w:val="none" w:color="FFFFFF" w:sz="0"/>
              <w:left w:val="none" w:color="FFFFFF" w:sz="0"/>
              <w:bottom w:val="none" w:color="FFFFFF" w:sz="0"/>
              <w:right w:val="none" w:color="FFFFFF" w:sz="0"/>
            </w:tcBorders>
          </w:tcPr>
          <w:p/>
        </w:tc>
      </w:tr>
    </w:tbl>
    <w:p>
      <w:pPr>
        <w:spacing w:after="40" w:before="40"/>
        <w:jc w:val="center"/>
      </w:pPr>
      <w:r>
        <w:rPr>
          <w:rFonts w:ascii="Arial" w:cs="Arial" w:eastAsia="Arial" w:hAnsi="Arial"/>
          <w:b/>
          <w:bCs/>
          <w:color w:val="2E4057"/>
          <w:sz w:val="22"/>
          <w:szCs w:val="22"/>
        </w:rPr>
        <w:t xml:space="preserve">↓</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900"/>
      </w:tblGrid>
      <w:tr>
        <w:tc>
          <w:tcPr>
            <w:tcW w:type="dxa" w:w="900"/>
            <w:tcBorders>
              <w:top w:val="none" w:color="FFFFFF" w:sz="0"/>
              <w:left w:val="none" w:color="FFFFFF" w:sz="0"/>
              <w:bottom w:val="none" w:color="FFFFFF" w:sz="0"/>
              <w:right w:val="none" w:color="FFFFFF" w:sz="0"/>
            </w:tcBorders>
          </w:tcPr>
          <w:p/>
        </w:tc>
        <w:tc>
          <w:tcPr>
            <w:tcW w:type="dxa" w:w="4700"/>
            <w:tcBorders>
              <w:top w:val="single" w:color="C79B00" w:sz="3"/>
              <w:left w:val="single" w:color="C79B00" w:sz="3"/>
              <w:bottom w:val="single" w:color="C79B00" w:sz="3"/>
              <w:right w:val="single" w:color="C79B00" w:sz="3"/>
            </w:tcBorders>
            <w:shd w:fill="FFF2CC" w:val="clear"/>
            <w:tcMar>
              <w:top w:type="dxa" w:w="120"/>
              <w:left w:type="dxa" w:w="200"/>
              <w:bottom w:type="dxa" w:w="120"/>
              <w:right w:type="dxa" w:w="200"/>
            </w:tcMar>
          </w:tcPr>
          <w:p>
            <w:pPr>
              <w:jc w:val="center"/>
            </w:pPr>
            <w:r>
              <w:rPr>
                <w:rFonts w:ascii="Arial" w:cs="Arial" w:eastAsia="Arial" w:hAnsi="Arial"/>
                <w:b/>
                <w:bCs/>
                <w:color w:val="000000"/>
                <w:sz w:val="20"/>
                <w:szCs w:val="20"/>
              </w:rPr>
              <w:t xml:space="preserve">All agents at their goal? (∀a: a.v = a.g)</w:t>
            </w:r>
          </w:p>
        </w:tc>
        <w:tc>
          <w:tcPr>
            <w:tcW w:type="dxa" w:w="900"/>
            <w:tcBorders>
              <w:top w:val="none" w:color="FFFFFF" w:sz="0"/>
              <w:left w:val="none" w:color="FFFFFF" w:sz="0"/>
              <w:bottom w:val="none" w:color="FFFFFF" w:sz="0"/>
              <w:right w:val="none" w:color="FFFFFF" w:sz="0"/>
            </w:tcBorders>
          </w:tcPr>
          <w:p/>
        </w:tc>
      </w:tr>
    </w:tbl>
    <w:p>
      <w:pPr>
        <w:spacing w:after="40" w:before="40"/>
        <w:jc w:val="center"/>
      </w:pPr>
      <w:r>
        <w:rPr>
          <w:rFonts w:ascii="Arial" w:cs="Arial" w:eastAsia="Arial" w:hAnsi="Arial"/>
          <w:b/>
          <w:bCs/>
          <w:color w:val="2E4057"/>
          <w:sz w:val="22"/>
          <w:szCs w:val="22"/>
        </w:rPr>
        <w:t xml:space="preserve">↓</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500"/>
        <w:gridCol w:w="3000"/>
        <w:gridCol w:w="500"/>
      </w:tblGrid>
      <w:tr>
        <w:tc>
          <w:tcPr>
            <w:tcW w:type="dxa" w:w="500"/>
            <w:tcBorders>
              <w:top w:val="none" w:color="FFFFFF" w:sz="0"/>
              <w:left w:val="none" w:color="FFFFFF" w:sz="0"/>
              <w:bottom w:val="none" w:color="FFFFFF" w:sz="0"/>
              <w:right w:val="none" w:color="FFFFFF" w:sz="0"/>
            </w:tcBorders>
          </w:tcPr>
          <w:p/>
        </w:tc>
        <w:tc>
          <w:tcPr>
            <w:tcW w:type="dxa" w:w="3000"/>
            <w:tcBorders>
              <w:top w:val="single" w:color="AAAAAA" w:sz="1"/>
              <w:left w:val="single" w:color="AAAAAA" w:sz="1"/>
              <w:bottom w:val="single" w:color="AAAAAA" w:sz="1"/>
              <w:right w:val="single" w:color="AAAAAA" w:sz="1"/>
            </w:tcBorders>
            <w:shd w:fill="E8F5E9" w:val="clear"/>
            <w:tcMar>
              <w:top w:type="dxa" w:w="100"/>
              <w:left w:type="dxa" w:w="160"/>
              <w:bottom w:type="dxa" w:w="100"/>
              <w:right w:type="dxa" w:w="160"/>
            </w:tcMar>
          </w:tcPr>
          <w:p>
            <w:pPr>
              <w:jc w:val="center"/>
            </w:pPr>
            <w:r>
              <w:rPr>
                <w:rFonts w:ascii="Arial" w:cs="Arial" w:eastAsia="Arial" w:hAnsi="Arial"/>
                <w:b/>
                <w:bCs/>
                <w:color w:val="2E4057"/>
                <w:sz w:val="18"/>
                <w:szCs w:val="18"/>
              </w:rPr>
              <w:t xml:space="preserve">YES →</w:t>
            </w:r>
          </w:p>
          <w:p>
            <w:pPr>
              <w:jc w:val="center"/>
            </w:pPr>
            <w:r>
              <w:rPr>
                <w:rFonts w:ascii="Arial" w:cs="Arial" w:eastAsia="Arial" w:hAnsi="Arial"/>
                <w:sz w:val="18"/>
                <w:szCs w:val="18"/>
              </w:rPr>
              <w:t xml:space="preserve">RETURN solution
(paths, SIC, makespan)</w:t>
            </w:r>
          </w:p>
        </w:tc>
        <w:tc>
          <w:tcPr>
            <w:tcW w:type="dxa" w:w="500"/>
            <w:tcBorders>
              <w:top w:val="none" w:color="FFFFFF" w:sz="0"/>
              <w:left w:val="none" w:color="FFFFFF" w:sz="0"/>
              <w:bottom w:val="none" w:color="FFFFFF" w:sz="0"/>
              <w:right w:val="none" w:color="FFFFFF" w:sz="0"/>
            </w:tcBorders>
          </w:tcPr>
          <w:p>
            <w:pPr>
              <w:jc w:val="center"/>
            </w:pPr>
            <w:r>
              <w:rPr>
                <w:rFonts w:ascii="Arial" w:cs="Arial" w:eastAsia="Arial" w:hAnsi="Arial"/>
                <w:b/>
                <w:bCs/>
                <w:color w:val="999999"/>
                <w:sz w:val="22"/>
                <w:szCs w:val="22"/>
              </w:rPr>
              <w:t xml:space="preserve">↔</w:t>
            </w:r>
          </w:p>
        </w:tc>
        <w:tc>
          <w:tcPr>
            <w:tcW w:type="dxa" w:w="3000"/>
            <w:tcBorders>
              <w:top w:val="single" w:color="AAAAAA" w:sz="1"/>
              <w:left w:val="single" w:color="AAAAAA" w:sz="1"/>
              <w:bottom w:val="single" w:color="AAAAAA" w:sz="1"/>
              <w:right w:val="single" w:color="AAAAAA" w:sz="1"/>
            </w:tcBorders>
            <w:shd w:fill="FFE5E5" w:val="clear"/>
            <w:tcMar>
              <w:top w:type="dxa" w:w="100"/>
              <w:left w:type="dxa" w:w="160"/>
              <w:bottom w:type="dxa" w:w="100"/>
              <w:right w:type="dxa" w:w="160"/>
            </w:tcMar>
          </w:tcPr>
          <w:p>
            <w:pPr>
              <w:jc w:val="center"/>
            </w:pPr>
            <w:r>
              <w:rPr>
                <w:rFonts w:ascii="Arial" w:cs="Arial" w:eastAsia="Arial" w:hAnsi="Arial"/>
                <w:b/>
                <w:bCs/>
                <w:color w:val="2E4057"/>
                <w:sz w:val="18"/>
                <w:szCs w:val="18"/>
              </w:rPr>
              <w:t xml:space="preserve">NO ↓</w:t>
            </w:r>
          </w:p>
          <w:p>
            <w:pPr>
              <w:jc w:val="center"/>
            </w:pPr>
            <w:r>
              <w:rPr>
                <w:rFonts w:ascii="Arial" w:cs="Arial" w:eastAsia="Arial" w:hAnsi="Arial"/>
                <w:sz w:val="18"/>
                <w:szCs w:val="18"/>
              </w:rPr>
              <w:t xml:space="preserve">Begin one-timestep planning pass</w:t>
            </w:r>
          </w:p>
        </w:tc>
        <w:tc>
          <w:tcPr>
            <w:tcW w:type="dxa" w:w="500"/>
            <w:tcBorders>
              <w:top w:val="none" w:color="FFFFFF" w:sz="0"/>
              <w:left w:val="none" w:color="FFFFFF" w:sz="0"/>
              <w:bottom w:val="none" w:color="FFFFFF" w:sz="0"/>
              <w:right w:val="none" w:color="FFFFFF" w:sz="0"/>
            </w:tcBorders>
          </w:tcPr>
          <w:p/>
        </w:tc>
      </w:tr>
    </w:tbl>
    <w:p>
      <w:pPr>
        <w:spacing w:after="40" w:before="40"/>
        <w:jc w:val="center"/>
      </w:pPr>
      <w:r>
        <w:rPr>
          <w:rFonts w:ascii="Arial" w:cs="Arial" w:eastAsia="Arial" w:hAnsi="Arial"/>
          <w:b/>
          <w:bCs/>
          <w:color w:val="2E4057"/>
          <w:sz w:val="22"/>
          <w:szCs w:val="22"/>
        </w:rPr>
        <w:t xml:space="preserve">↓</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900"/>
      </w:tblGrid>
      <w:tr>
        <w:tc>
          <w:tcPr>
            <w:tcW w:type="dxa" w:w="900"/>
            <w:tcBorders>
              <w:top w:val="none" w:color="FFFFFF" w:sz="0"/>
              <w:left w:val="none" w:color="FFFFFF" w:sz="0"/>
              <w:bottom w:val="none" w:color="FFFFFF" w:sz="0"/>
              <w:right w:val="none" w:color="FFFFFF" w:sz="0"/>
            </w:tcBorders>
          </w:tcPr>
          <w:p/>
        </w:tc>
        <w:tc>
          <w:tcPr>
            <w:tcW w:type="dxa" w:w="4700"/>
            <w:tcBorders>
              <w:top w:val="single" w:color="4A90D9" w:sz="3"/>
              <w:left w:val="single" w:color="4A90D9" w:sz="3"/>
              <w:bottom w:val="single" w:color="4A90D9" w:sz="3"/>
              <w:right w:val="single" w:color="4A90D9" w:sz="3"/>
            </w:tcBorders>
            <w:shd w:fill="D5E8F0" w:val="clear"/>
            <w:tcMar>
              <w:top w:type="dxa" w:w="120"/>
              <w:left w:type="dxa" w:w="200"/>
              <w:bottom w:type="dxa" w:w="120"/>
              <w:right w:type="dxa" w:w="200"/>
            </w:tcMar>
          </w:tcPr>
          <w:p>
            <w:pPr>
              <w:jc w:val="center"/>
            </w:pPr>
            <w:r>
              <w:rPr>
                <w:rFonts w:ascii="Arial" w:cs="Arial" w:eastAsia="Arial" w:hAnsi="Arial"/>
                <w:b w:val="false"/>
                <w:bCs w:val="false"/>
                <w:color w:val="000000"/>
                <w:sz w:val="20"/>
                <w:szCs w:val="20"/>
              </w:rPr>
              <w:t xml:space="preserve">For each agent a where a.v ≠ a.g:
u = nextNode(a.v, a.g) = argmin dist(v, a.g)</w:t>
            </w:r>
          </w:p>
        </w:tc>
        <w:tc>
          <w:tcPr>
            <w:tcW w:type="dxa" w:w="900"/>
            <w:tcBorders>
              <w:top w:val="none" w:color="FFFFFF" w:sz="0"/>
              <w:left w:val="none" w:color="FFFFFF" w:sz="0"/>
              <w:bottom w:val="none" w:color="FFFFFF" w:sz="0"/>
              <w:right w:val="none" w:color="FFFFFF" w:sz="0"/>
            </w:tcBorders>
          </w:tcPr>
          <w:p/>
        </w:tc>
      </w:tr>
    </w:tbl>
    <w:p>
      <w:pPr>
        <w:spacing w:after="40" w:before="40"/>
        <w:jc w:val="center"/>
      </w:pPr>
      <w:r>
        <w:rPr>
          <w:rFonts w:ascii="Arial" w:cs="Arial" w:eastAsia="Arial" w:hAnsi="Arial"/>
          <w:b/>
          <w:bCs/>
          <w:color w:val="2E4057"/>
          <w:sz w:val="22"/>
          <w:szCs w:val="22"/>
        </w:rPr>
        <w:t xml:space="preserve">↓</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900"/>
      </w:tblGrid>
      <w:tr>
        <w:tc>
          <w:tcPr>
            <w:tcW w:type="dxa" w:w="900"/>
            <w:tcBorders>
              <w:top w:val="none" w:color="FFFFFF" w:sz="0"/>
              <w:left w:val="none" w:color="FFFFFF" w:sz="0"/>
              <w:bottom w:val="none" w:color="FFFFFF" w:sz="0"/>
              <w:right w:val="none" w:color="FFFFFF" w:sz="0"/>
            </w:tcBorders>
          </w:tcPr>
          <w:p/>
        </w:tc>
        <w:tc>
          <w:tcPr>
            <w:tcW w:type="dxa" w:w="4700"/>
            <w:tcBorders>
              <w:top w:val="single" w:color="C79B00" w:sz="3"/>
              <w:left w:val="single" w:color="C79B00" w:sz="3"/>
              <w:bottom w:val="single" w:color="C79B00" w:sz="3"/>
              <w:right w:val="single" w:color="C79B00" w:sz="3"/>
            </w:tcBorders>
            <w:shd w:fill="FFF2CC" w:val="clear"/>
            <w:tcMar>
              <w:top w:type="dxa" w:w="120"/>
              <w:left w:type="dxa" w:w="200"/>
              <w:bottom w:type="dxa" w:w="120"/>
              <w:right w:type="dxa" w:w="200"/>
            </w:tcMar>
          </w:tcPr>
          <w:p>
            <w:pPr>
              <w:jc w:val="center"/>
            </w:pPr>
            <w:r>
              <w:rPr>
                <w:rFonts w:ascii="Arial" w:cs="Arial" w:eastAsia="Arial" w:hAnsi="Arial"/>
                <w:b/>
                <w:bCs/>
                <w:color w:val="000000"/>
                <w:sz w:val="20"/>
                <w:szCs w:val="20"/>
              </w:rPr>
              <w:t xml:space="preserve">Is cell u occupied by another agent b?</w:t>
            </w:r>
          </w:p>
        </w:tc>
        <w:tc>
          <w:tcPr>
            <w:tcW w:type="dxa" w:w="900"/>
            <w:tcBorders>
              <w:top w:val="none" w:color="FFFFFF" w:sz="0"/>
              <w:left w:val="none" w:color="FFFFFF" w:sz="0"/>
              <w:bottom w:val="none" w:color="FFFFFF" w:sz="0"/>
              <w:right w:val="none" w:color="FFFFFF" w:sz="0"/>
            </w:tcBorders>
          </w:tcPr>
          <w:p/>
        </w:tc>
      </w:tr>
    </w:tbl>
    <w:p>
      <w:pPr>
        <w:spacing w:after="40" w:before="40"/>
        <w:jc w:val="center"/>
      </w:pPr>
      <w:r>
        <w:rPr>
          <w:rFonts w:ascii="Arial" w:cs="Arial" w:eastAsia="Arial" w:hAnsi="Arial"/>
          <w:b/>
          <w:bCs/>
          <w:color w:val="2E4057"/>
          <w:sz w:val="22"/>
          <w:szCs w:val="22"/>
        </w:rPr>
        <w:t xml:space="preserve">↓</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500"/>
        <w:gridCol w:w="3000"/>
        <w:gridCol w:w="500"/>
      </w:tblGrid>
      <w:tr>
        <w:tc>
          <w:tcPr>
            <w:tcW w:type="dxa" w:w="500"/>
            <w:tcBorders>
              <w:top w:val="none" w:color="FFFFFF" w:sz="0"/>
              <w:left w:val="none" w:color="FFFFFF" w:sz="0"/>
              <w:bottom w:val="none" w:color="FFFFFF" w:sz="0"/>
              <w:right w:val="none" w:color="FFFFFF" w:sz="0"/>
            </w:tcBorders>
          </w:tcPr>
          <w:p/>
        </w:tc>
        <w:tc>
          <w:tcPr>
            <w:tcW w:type="dxa" w:w="3000"/>
            <w:tcBorders>
              <w:top w:val="single" w:color="AAAAAA" w:sz="1"/>
              <w:left w:val="single" w:color="AAAAAA" w:sz="1"/>
              <w:bottom w:val="single" w:color="AAAAAA" w:sz="1"/>
              <w:right w:val="single" w:color="AAAAAA" w:sz="1"/>
            </w:tcBorders>
            <w:shd w:fill="E8F5E9" w:val="clear"/>
            <w:tcMar>
              <w:top w:type="dxa" w:w="100"/>
              <w:left w:type="dxa" w:w="160"/>
              <w:bottom w:type="dxa" w:w="100"/>
              <w:right w:type="dxa" w:w="160"/>
            </w:tcMar>
          </w:tcPr>
          <w:p>
            <w:pPr>
              <w:jc w:val="center"/>
            </w:pPr>
            <w:r>
              <w:rPr>
                <w:rFonts w:ascii="Arial" w:cs="Arial" w:eastAsia="Arial" w:hAnsi="Arial"/>
                <w:b/>
                <w:bCs/>
                <w:color w:val="2E4057"/>
                <w:sz w:val="18"/>
                <w:szCs w:val="18"/>
              </w:rPr>
              <w:t xml:space="preserve">NO →</w:t>
            </w:r>
          </w:p>
          <w:p>
            <w:pPr>
              <w:jc w:val="center"/>
            </w:pPr>
            <w:r>
              <w:rPr>
                <w:rFonts w:ascii="Arial" w:cs="Arial" w:eastAsia="Arial" w:hAnsi="Arial"/>
                <w:sz w:val="18"/>
                <w:szCs w:val="18"/>
              </w:rPr>
              <w:t xml:space="preserve">Mark agent a to move to u</w:t>
            </w:r>
          </w:p>
        </w:tc>
        <w:tc>
          <w:tcPr>
            <w:tcW w:type="dxa" w:w="500"/>
            <w:tcBorders>
              <w:top w:val="none" w:color="FFFFFF" w:sz="0"/>
              <w:left w:val="none" w:color="FFFFFF" w:sz="0"/>
              <w:bottom w:val="none" w:color="FFFFFF" w:sz="0"/>
              <w:right w:val="none" w:color="FFFFFF" w:sz="0"/>
            </w:tcBorders>
          </w:tcPr>
          <w:p>
            <w:pPr>
              <w:jc w:val="center"/>
            </w:pPr>
            <w:r>
              <w:rPr>
                <w:rFonts w:ascii="Arial" w:cs="Arial" w:eastAsia="Arial" w:hAnsi="Arial"/>
                <w:b/>
                <w:bCs/>
                <w:color w:val="999999"/>
                <w:sz w:val="22"/>
                <w:szCs w:val="22"/>
              </w:rPr>
              <w:t xml:space="preserve">↔</w:t>
            </w:r>
          </w:p>
        </w:tc>
        <w:tc>
          <w:tcPr>
            <w:tcW w:type="dxa" w:w="3000"/>
            <w:tcBorders>
              <w:top w:val="single" w:color="AAAAAA" w:sz="1"/>
              <w:left w:val="single" w:color="AAAAAA" w:sz="1"/>
              <w:bottom w:val="single" w:color="AAAAAA" w:sz="1"/>
              <w:right w:val="single" w:color="AAAAAA" w:sz="1"/>
            </w:tcBorders>
            <w:shd w:fill="FFE5E5" w:val="clear"/>
            <w:tcMar>
              <w:top w:type="dxa" w:w="100"/>
              <w:left w:type="dxa" w:w="160"/>
              <w:bottom w:type="dxa" w:w="100"/>
              <w:right w:type="dxa" w:w="160"/>
            </w:tcMar>
          </w:tcPr>
          <w:p>
            <w:pPr>
              <w:jc w:val="center"/>
            </w:pPr>
            <w:r>
              <w:rPr>
                <w:rFonts w:ascii="Arial" w:cs="Arial" w:eastAsia="Arial" w:hAnsi="Arial"/>
                <w:b/>
                <w:bCs/>
                <w:color w:val="2E4057"/>
                <w:sz w:val="18"/>
                <w:szCs w:val="18"/>
              </w:rPr>
              <w:t xml:space="preserve">YES ↓</w:t>
            </w:r>
          </w:p>
          <w:p>
            <w:pPr>
              <w:jc w:val="center"/>
            </w:pPr>
            <w:r>
              <w:rPr>
                <w:rFonts w:ascii="Arial" w:cs="Arial" w:eastAsia="Arial" w:hAnsi="Arial"/>
                <w:sz w:val="18"/>
                <w:szCs w:val="18"/>
              </w:rPr>
              <w:t xml:space="preserve">Is u = b.g?  (b at its own target)</w:t>
            </w:r>
          </w:p>
        </w:tc>
        <w:tc>
          <w:tcPr>
            <w:tcW w:type="dxa" w:w="500"/>
            <w:tcBorders>
              <w:top w:val="none" w:color="FFFFFF" w:sz="0"/>
              <w:left w:val="none" w:color="FFFFFF" w:sz="0"/>
              <w:bottom w:val="none" w:color="FFFFFF" w:sz="0"/>
              <w:right w:val="none" w:color="FFFFFF" w:sz="0"/>
            </w:tcBorders>
          </w:tcPr>
          <w:p/>
        </w:tc>
      </w:tr>
    </w:tbl>
    <w:p>
      <w:pPr>
        <w:spacing w:after="40" w:before="40"/>
        <w:jc w:val="center"/>
      </w:pPr>
      <w:r>
        <w:rPr>
          <w:rFonts w:ascii="Arial" w:cs="Arial" w:eastAsia="Arial" w:hAnsi="Arial"/>
          <w:b/>
          <w:bCs/>
          <w:color w:val="2E4057"/>
          <w:sz w:val="22"/>
          <w:szCs w:val="22"/>
        </w:rPr>
        <w:t xml:space="preserve">↓</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900"/>
      </w:tblGrid>
      <w:tr>
        <w:tc>
          <w:tcPr>
            <w:tcW w:type="dxa" w:w="900"/>
            <w:tcBorders>
              <w:top w:val="none" w:color="FFFFFF" w:sz="0"/>
              <w:left w:val="none" w:color="FFFFFF" w:sz="0"/>
              <w:bottom w:val="none" w:color="FFFFFF" w:sz="0"/>
              <w:right w:val="none" w:color="FFFFFF" w:sz="0"/>
            </w:tcBorders>
          </w:tcPr>
          <w:p/>
        </w:tc>
        <w:tc>
          <w:tcPr>
            <w:tcW w:type="dxa" w:w="4700"/>
            <w:tcBorders>
              <w:top w:val="single" w:color="C79B00" w:sz="3"/>
              <w:left w:val="single" w:color="C79B00" w:sz="3"/>
              <w:bottom w:val="single" w:color="C79B00" w:sz="3"/>
              <w:right w:val="single" w:color="C79B00" w:sz="3"/>
            </w:tcBorders>
            <w:shd w:fill="FFF2CC" w:val="clear"/>
            <w:tcMar>
              <w:top w:type="dxa" w:w="120"/>
              <w:left w:type="dxa" w:w="200"/>
              <w:bottom w:type="dxa" w:w="120"/>
              <w:right w:type="dxa" w:w="200"/>
            </w:tcMar>
          </w:tcPr>
          <w:p>
            <w:pPr>
              <w:jc w:val="center"/>
            </w:pPr>
            <w:r>
              <w:rPr>
                <w:rFonts w:ascii="Arial" w:cs="Arial" w:eastAsia="Arial" w:hAnsi="Arial"/>
                <w:b/>
                <w:bCs/>
                <w:color w:val="000000"/>
                <w:sz w:val="20"/>
                <w:szCs w:val="20"/>
              </w:rPr>
              <w:t xml:space="preserve">u = b.g (b at target blocking)?</w:t>
            </w:r>
          </w:p>
        </w:tc>
        <w:tc>
          <w:tcPr>
            <w:tcW w:type="dxa" w:w="900"/>
            <w:tcBorders>
              <w:top w:val="none" w:color="FFFFFF" w:sz="0"/>
              <w:left w:val="none" w:color="FFFFFF" w:sz="0"/>
              <w:bottom w:val="none" w:color="FFFFFF" w:sz="0"/>
              <w:right w:val="none" w:color="FFFFFF" w:sz="0"/>
            </w:tcBorders>
          </w:tcPr>
          <w:p/>
        </w:tc>
      </w:tr>
    </w:tbl>
    <w:p>
      <w:pPr>
        <w:spacing w:after="40" w:before="40"/>
        <w:jc w:val="center"/>
      </w:pPr>
      <w:r>
        <w:rPr>
          <w:rFonts w:ascii="Arial" w:cs="Arial" w:eastAsia="Arial" w:hAnsi="Arial"/>
          <w:b/>
          <w:bCs/>
          <w:color w:val="2E4057"/>
          <w:sz w:val="22"/>
          <w:szCs w:val="22"/>
        </w:rPr>
        <w:t xml:space="preserve">↓</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500"/>
        <w:gridCol w:w="3000"/>
        <w:gridCol w:w="500"/>
      </w:tblGrid>
      <w:tr>
        <w:tc>
          <w:tcPr>
            <w:tcW w:type="dxa" w:w="500"/>
            <w:tcBorders>
              <w:top w:val="none" w:color="FFFFFF" w:sz="0"/>
              <w:left w:val="none" w:color="FFFFFF" w:sz="0"/>
              <w:bottom w:val="none" w:color="FFFFFF" w:sz="0"/>
              <w:right w:val="none" w:color="FFFFFF" w:sz="0"/>
            </w:tcBorders>
          </w:tcPr>
          <w:p/>
        </w:tc>
        <w:tc>
          <w:tcPr>
            <w:tcW w:type="dxa" w:w="3000"/>
            <w:tcBorders>
              <w:top w:val="single" w:color="AAAAAA" w:sz="1"/>
              <w:left w:val="single" w:color="AAAAAA" w:sz="1"/>
              <w:bottom w:val="single" w:color="AAAAAA" w:sz="1"/>
              <w:right w:val="single" w:color="AAAAAA" w:sz="1"/>
            </w:tcBorders>
            <w:shd w:fill="E8F5E9" w:val="clear"/>
            <w:tcMar>
              <w:top w:type="dxa" w:w="100"/>
              <w:left w:type="dxa" w:w="160"/>
              <w:bottom w:type="dxa" w:w="100"/>
              <w:right w:type="dxa" w:w="160"/>
            </w:tcMar>
          </w:tcPr>
          <w:p>
            <w:pPr>
              <w:jc w:val="center"/>
            </w:pPr>
            <w:r>
              <w:rPr>
                <w:rFonts w:ascii="Arial" w:cs="Arial" w:eastAsia="Arial" w:hAnsi="Arial"/>
                <w:b/>
                <w:bCs/>
                <w:color w:val="2E4057"/>
                <w:sz w:val="18"/>
                <w:szCs w:val="18"/>
              </w:rPr>
              <w:t xml:space="preserve">YES →</w:t>
            </w:r>
          </w:p>
          <w:p>
            <w:pPr>
              <w:jc w:val="center"/>
            </w:pPr>
            <w:r>
              <w:rPr>
                <w:rFonts w:ascii="Arial" w:cs="Arial" w:eastAsia="Arial" w:hAnsi="Arial"/>
                <w:sz w:val="18"/>
                <w:szCs w:val="18"/>
              </w:rPr>
              <w:t xml:space="preserve">SWAP targets: a.g ↔ b.g</w:t>
            </w:r>
          </w:p>
        </w:tc>
        <w:tc>
          <w:tcPr>
            <w:tcW w:type="dxa" w:w="500"/>
            <w:tcBorders>
              <w:top w:val="none" w:color="FFFFFF" w:sz="0"/>
              <w:left w:val="none" w:color="FFFFFF" w:sz="0"/>
              <w:bottom w:val="none" w:color="FFFFFF" w:sz="0"/>
              <w:right w:val="none" w:color="FFFFFF" w:sz="0"/>
            </w:tcBorders>
          </w:tcPr>
          <w:p>
            <w:pPr>
              <w:jc w:val="center"/>
            </w:pPr>
            <w:r>
              <w:rPr>
                <w:rFonts w:ascii="Arial" w:cs="Arial" w:eastAsia="Arial" w:hAnsi="Arial"/>
                <w:b/>
                <w:bCs/>
                <w:color w:val="999999"/>
                <w:sz w:val="22"/>
                <w:szCs w:val="22"/>
              </w:rPr>
              <w:t xml:space="preserve">↔</w:t>
            </w:r>
          </w:p>
        </w:tc>
        <w:tc>
          <w:tcPr>
            <w:tcW w:type="dxa" w:w="3000"/>
            <w:tcBorders>
              <w:top w:val="single" w:color="AAAAAA" w:sz="1"/>
              <w:left w:val="single" w:color="AAAAAA" w:sz="1"/>
              <w:bottom w:val="single" w:color="AAAAAA" w:sz="1"/>
              <w:right w:val="single" w:color="AAAAAA" w:sz="1"/>
            </w:tcBorders>
            <w:shd w:fill="FFE5E5" w:val="clear"/>
            <w:tcMar>
              <w:top w:type="dxa" w:w="100"/>
              <w:left w:type="dxa" w:w="160"/>
              <w:bottom w:type="dxa" w:w="100"/>
              <w:right w:type="dxa" w:w="160"/>
            </w:tcMar>
          </w:tcPr>
          <w:p>
            <w:pPr>
              <w:jc w:val="center"/>
            </w:pPr>
            <w:r>
              <w:rPr>
                <w:rFonts w:ascii="Arial" w:cs="Arial" w:eastAsia="Arial" w:hAnsi="Arial"/>
                <w:b/>
                <w:bCs/>
                <w:color w:val="2E4057"/>
                <w:sz w:val="18"/>
                <w:szCs w:val="18"/>
              </w:rPr>
              <w:t xml:space="preserve">NO ↓</w:t>
            </w:r>
          </w:p>
          <w:p>
            <w:pPr>
              <w:jc w:val="center"/>
            </w:pPr>
            <w:r>
              <w:rPr>
                <w:rFonts w:ascii="Arial" w:cs="Arial" w:eastAsia="Arial" w:hAnsi="Arial"/>
                <w:sz w:val="18"/>
                <w:szCs w:val="18"/>
              </w:rPr>
              <w:t xml:space="preserve">Detect deadlock cycle in nextNode chain</w:t>
            </w:r>
          </w:p>
        </w:tc>
        <w:tc>
          <w:tcPr>
            <w:tcW w:type="dxa" w:w="500"/>
            <w:tcBorders>
              <w:top w:val="none" w:color="FFFFFF" w:sz="0"/>
              <w:left w:val="none" w:color="FFFFFF" w:sz="0"/>
              <w:bottom w:val="none" w:color="FFFFFF" w:sz="0"/>
              <w:right w:val="none" w:color="FFFFFF" w:sz="0"/>
            </w:tcBorders>
          </w:tcPr>
          <w:p/>
        </w:tc>
      </w:tr>
    </w:tbl>
    <w:p>
      <w:pPr>
        <w:spacing w:after="40" w:before="40"/>
        <w:jc w:val="center"/>
      </w:pPr>
      <w:r>
        <w:rPr>
          <w:rFonts w:ascii="Arial" w:cs="Arial" w:eastAsia="Arial" w:hAnsi="Arial"/>
          <w:b/>
          <w:bCs/>
          <w:color w:val="2E4057"/>
          <w:sz w:val="22"/>
          <w:szCs w:val="22"/>
        </w:rPr>
        <w:t xml:space="preserve">↓</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900"/>
      </w:tblGrid>
      <w:tr>
        <w:tc>
          <w:tcPr>
            <w:tcW w:type="dxa" w:w="900"/>
            <w:tcBorders>
              <w:top w:val="none" w:color="FFFFFF" w:sz="0"/>
              <w:left w:val="none" w:color="FFFFFF" w:sz="0"/>
              <w:bottom w:val="none" w:color="FFFFFF" w:sz="0"/>
              <w:right w:val="none" w:color="FFFFFF" w:sz="0"/>
            </w:tcBorders>
          </w:tcPr>
          <w:p/>
        </w:tc>
        <w:tc>
          <w:tcPr>
            <w:tcW w:type="dxa" w:w="4700"/>
            <w:tcBorders>
              <w:top w:val="single" w:color="C79B00" w:sz="3"/>
              <w:left w:val="single" w:color="C79B00" w:sz="3"/>
              <w:bottom w:val="single" w:color="C79B00" w:sz="3"/>
              <w:right w:val="single" w:color="C79B00" w:sz="3"/>
            </w:tcBorders>
            <w:shd w:fill="FFF2CC" w:val="clear"/>
            <w:tcMar>
              <w:top w:type="dxa" w:w="120"/>
              <w:left w:type="dxa" w:w="200"/>
              <w:bottom w:type="dxa" w:w="120"/>
              <w:right w:type="dxa" w:w="200"/>
            </w:tcMar>
          </w:tcPr>
          <w:p>
            <w:pPr>
              <w:jc w:val="center"/>
            </w:pPr>
            <w:r>
              <w:rPr>
                <w:rFonts w:ascii="Arial" w:cs="Arial" w:eastAsia="Arial" w:hAnsi="Arial"/>
                <w:b/>
                <w:bCs/>
                <w:color w:val="000000"/>
                <w:sz w:val="20"/>
                <w:szCs w:val="20"/>
              </w:rPr>
              <w:t xml:space="preserve">Deadlock cycle A' detected?</w:t>
            </w:r>
          </w:p>
        </w:tc>
        <w:tc>
          <w:tcPr>
            <w:tcW w:type="dxa" w:w="900"/>
            <w:tcBorders>
              <w:top w:val="none" w:color="FFFFFF" w:sz="0"/>
              <w:left w:val="none" w:color="FFFFFF" w:sz="0"/>
              <w:bottom w:val="none" w:color="FFFFFF" w:sz="0"/>
              <w:right w:val="none" w:color="FFFFFF" w:sz="0"/>
            </w:tcBorders>
          </w:tcPr>
          <w:p/>
        </w:tc>
      </w:tr>
    </w:tbl>
    <w:p>
      <w:pPr>
        <w:spacing w:after="40" w:before="40"/>
        <w:jc w:val="center"/>
      </w:pPr>
      <w:r>
        <w:rPr>
          <w:rFonts w:ascii="Arial" w:cs="Arial" w:eastAsia="Arial" w:hAnsi="Arial"/>
          <w:b/>
          <w:bCs/>
          <w:color w:val="2E4057"/>
          <w:sz w:val="22"/>
          <w:szCs w:val="22"/>
        </w:rPr>
        <w:t xml:space="preserve">↓</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500"/>
        <w:gridCol w:w="3000"/>
        <w:gridCol w:w="500"/>
      </w:tblGrid>
      <w:tr>
        <w:tc>
          <w:tcPr>
            <w:tcW w:type="dxa" w:w="500"/>
            <w:tcBorders>
              <w:top w:val="none" w:color="FFFFFF" w:sz="0"/>
              <w:left w:val="none" w:color="FFFFFF" w:sz="0"/>
              <w:bottom w:val="none" w:color="FFFFFF" w:sz="0"/>
              <w:right w:val="none" w:color="FFFFFF" w:sz="0"/>
            </w:tcBorders>
          </w:tcPr>
          <w:p/>
        </w:tc>
        <w:tc>
          <w:tcPr>
            <w:tcW w:type="dxa" w:w="3000"/>
            <w:tcBorders>
              <w:top w:val="single" w:color="AAAAAA" w:sz="1"/>
              <w:left w:val="single" w:color="AAAAAA" w:sz="1"/>
              <w:bottom w:val="single" w:color="AAAAAA" w:sz="1"/>
              <w:right w:val="single" w:color="AAAAAA" w:sz="1"/>
            </w:tcBorders>
            <w:shd w:fill="E8F5E9" w:val="clear"/>
            <w:tcMar>
              <w:top w:type="dxa" w:w="100"/>
              <w:left w:type="dxa" w:w="160"/>
              <w:bottom w:type="dxa" w:w="100"/>
              <w:right w:type="dxa" w:w="160"/>
            </w:tcMar>
          </w:tcPr>
          <w:p>
            <w:pPr>
              <w:jc w:val="center"/>
            </w:pPr>
            <w:r>
              <w:rPr>
                <w:rFonts w:ascii="Arial" w:cs="Arial" w:eastAsia="Arial" w:hAnsi="Arial"/>
                <w:b/>
                <w:bCs/>
                <w:color w:val="2E4057"/>
                <w:sz w:val="18"/>
                <w:szCs w:val="18"/>
              </w:rPr>
              <w:t xml:space="preserve">YES →</w:t>
            </w:r>
          </w:p>
          <w:p>
            <w:pPr>
              <w:jc w:val="center"/>
            </w:pPr>
            <w:r>
              <w:rPr>
                <w:rFonts w:ascii="Arial" w:cs="Arial" w:eastAsia="Arial" w:hAnsi="Arial"/>
                <w:sz w:val="18"/>
                <w:szCs w:val="18"/>
              </w:rPr>
              <w:t xml:space="preserve">ROTATE targets in A'
aᵢ₁.g←aᵢₖ.g, aᵢ₂.g←aᵢ₁.g, …</w:t>
            </w:r>
          </w:p>
        </w:tc>
        <w:tc>
          <w:tcPr>
            <w:tcW w:type="dxa" w:w="500"/>
            <w:tcBorders>
              <w:top w:val="none" w:color="FFFFFF" w:sz="0"/>
              <w:left w:val="none" w:color="FFFFFF" w:sz="0"/>
              <w:bottom w:val="none" w:color="FFFFFF" w:sz="0"/>
              <w:right w:val="none" w:color="FFFFFF" w:sz="0"/>
            </w:tcBorders>
          </w:tcPr>
          <w:p>
            <w:pPr>
              <w:jc w:val="center"/>
            </w:pPr>
            <w:r>
              <w:rPr>
                <w:rFonts w:ascii="Arial" w:cs="Arial" w:eastAsia="Arial" w:hAnsi="Arial"/>
                <w:b/>
                <w:bCs/>
                <w:color w:val="999999"/>
                <w:sz w:val="22"/>
                <w:szCs w:val="22"/>
              </w:rPr>
              <w:t xml:space="preserve">↔</w:t>
            </w:r>
          </w:p>
        </w:tc>
        <w:tc>
          <w:tcPr>
            <w:tcW w:type="dxa" w:w="3000"/>
            <w:tcBorders>
              <w:top w:val="single" w:color="AAAAAA" w:sz="1"/>
              <w:left w:val="single" w:color="AAAAAA" w:sz="1"/>
              <w:bottom w:val="single" w:color="AAAAAA" w:sz="1"/>
              <w:right w:val="single" w:color="AAAAAA" w:sz="1"/>
            </w:tcBorders>
            <w:shd w:fill="FFE5E5" w:val="clear"/>
            <w:tcMar>
              <w:top w:type="dxa" w:w="100"/>
              <w:left w:type="dxa" w:w="160"/>
              <w:bottom w:type="dxa" w:w="100"/>
              <w:right w:type="dxa" w:w="160"/>
            </w:tcMar>
          </w:tcPr>
          <w:p>
            <w:pPr>
              <w:jc w:val="center"/>
            </w:pPr>
            <w:r>
              <w:rPr>
                <w:rFonts w:ascii="Arial" w:cs="Arial" w:eastAsia="Arial" w:hAnsi="Arial"/>
                <w:b/>
                <w:bCs/>
                <w:color w:val="2E4057"/>
                <w:sz w:val="18"/>
                <w:szCs w:val="18"/>
              </w:rPr>
              <w:t xml:space="preserve">NO ↓</w:t>
            </w:r>
          </w:p>
          <w:p>
            <w:pPr>
              <w:jc w:val="center"/>
            </w:pPr>
            <w:r>
              <w:rPr>
                <w:rFonts w:ascii="Arial" w:cs="Arial" w:eastAsia="Arial" w:hAnsi="Arial"/>
                <w:sz w:val="18"/>
                <w:szCs w:val="18"/>
              </w:rPr>
              <w:t xml:space="preserve">Agent a waits this timestep</w:t>
            </w:r>
          </w:p>
        </w:tc>
        <w:tc>
          <w:tcPr>
            <w:tcW w:type="dxa" w:w="500"/>
            <w:tcBorders>
              <w:top w:val="none" w:color="FFFFFF" w:sz="0"/>
              <w:left w:val="none" w:color="FFFFFF" w:sz="0"/>
              <w:bottom w:val="none" w:color="FFFFFF" w:sz="0"/>
              <w:right w:val="none" w:color="FFFFFF" w:sz="0"/>
            </w:tcBorders>
          </w:tcPr>
          <w:p/>
        </w:tc>
      </w:tr>
    </w:tbl>
    <w:p>
      <w:pPr>
        <w:spacing w:after="40" w:before="40"/>
        <w:jc w:val="center"/>
      </w:pPr>
      <w:r>
        <w:rPr>
          <w:rFonts w:ascii="Arial" w:cs="Arial" w:eastAsia="Arial" w:hAnsi="Arial"/>
          <w:b/>
          <w:bCs/>
          <w:color w:val="2E4057"/>
          <w:sz w:val="22"/>
          <w:szCs w:val="22"/>
        </w:rPr>
        <w:t xml:space="preserve">↓</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900"/>
      </w:tblGrid>
      <w:tr>
        <w:tc>
          <w:tcPr>
            <w:tcW w:type="dxa" w:w="900"/>
            <w:tcBorders>
              <w:top w:val="none" w:color="FFFFFF" w:sz="0"/>
              <w:left w:val="none" w:color="FFFFFF" w:sz="0"/>
              <w:bottom w:val="none" w:color="FFFFFF" w:sz="0"/>
              <w:right w:val="none" w:color="FFFFFF" w:sz="0"/>
            </w:tcBorders>
          </w:tcPr>
          <w:p/>
        </w:tc>
        <w:tc>
          <w:tcPr>
            <w:tcW w:type="dxa" w:w="4700"/>
            <w:tcBorders>
              <w:top w:val="single" w:color="4A90D9" w:sz="3"/>
              <w:left w:val="single" w:color="4A90D9" w:sz="3"/>
              <w:bottom w:val="single" w:color="4A90D9" w:sz="3"/>
              <w:right w:val="single" w:color="4A90D9" w:sz="3"/>
            </w:tcBorders>
            <w:shd w:fill="D5E8F0" w:val="clear"/>
            <w:tcMar>
              <w:top w:type="dxa" w:w="120"/>
              <w:left w:type="dxa" w:w="200"/>
              <w:bottom w:type="dxa" w:w="120"/>
              <w:right w:type="dxa" w:w="200"/>
            </w:tcMar>
          </w:tcPr>
          <w:p>
            <w:pPr>
              <w:jc w:val="center"/>
            </w:pPr>
            <w:r>
              <w:rPr>
                <w:rFonts w:ascii="Arial" w:cs="Arial" w:eastAsia="Arial" w:hAnsi="Arial"/>
                <w:b w:val="false"/>
                <w:bCs w:val="false"/>
                <w:color w:val="000000"/>
                <w:sz w:val="20"/>
                <w:szCs w:val="20"/>
              </w:rPr>
              <w:t xml:space="preserve">Apply all moves simultaneously
Resolve vertex &amp; swap conflicts</w:t>
            </w:r>
          </w:p>
        </w:tc>
        <w:tc>
          <w:tcPr>
            <w:tcW w:type="dxa" w:w="900"/>
            <w:tcBorders>
              <w:top w:val="none" w:color="FFFFFF" w:sz="0"/>
              <w:left w:val="none" w:color="FFFFFF" w:sz="0"/>
              <w:bottom w:val="none" w:color="FFFFFF" w:sz="0"/>
              <w:right w:val="none" w:color="FFFFFF" w:sz="0"/>
            </w:tcBorders>
          </w:tcPr>
          <w:p/>
        </w:tc>
      </w:tr>
    </w:tbl>
    <w:p>
      <w:pPr>
        <w:spacing w:after="40" w:before="40"/>
        <w:jc w:val="center"/>
      </w:pPr>
      <w:r>
        <w:rPr>
          <w:rFonts w:ascii="Arial" w:cs="Arial" w:eastAsia="Arial" w:hAnsi="Arial"/>
          <w:b/>
          <w:bCs/>
          <w:color w:val="2E4057"/>
          <w:sz w:val="22"/>
          <w:szCs w:val="22"/>
        </w:rPr>
        <w:t xml:space="preserve">↓  t←t+1</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900"/>
      </w:tblGrid>
      <w:tr>
        <w:tc>
          <w:tcPr>
            <w:tcW w:type="dxa" w:w="900"/>
            <w:tcBorders>
              <w:top w:val="none" w:color="FFFFFF" w:sz="0"/>
              <w:left w:val="none" w:color="FFFFFF" w:sz="0"/>
              <w:bottom w:val="none" w:color="FFFFFF" w:sz="0"/>
              <w:right w:val="none" w:color="FFFFFF" w:sz="0"/>
            </w:tcBorders>
          </w:tcPr>
          <w:p/>
        </w:tc>
        <w:tc>
          <w:tcPr>
            <w:tcW w:type="dxa" w:w="4700"/>
            <w:tcBorders>
              <w:top w:val="single" w:color="4A90D9" w:sz="3"/>
              <w:left w:val="single" w:color="4A90D9" w:sz="3"/>
              <w:bottom w:val="single" w:color="4A90D9" w:sz="3"/>
              <w:right w:val="single" w:color="4A90D9" w:sz="3"/>
            </w:tcBorders>
            <w:shd w:fill="E8F5E9" w:val="clear"/>
            <w:tcMar>
              <w:top w:type="dxa" w:w="120"/>
              <w:left w:type="dxa" w:w="200"/>
              <w:bottom w:type="dxa" w:w="120"/>
              <w:right w:type="dxa" w:w="200"/>
            </w:tcMar>
          </w:tcPr>
          <w:p>
            <w:pPr>
              <w:jc w:val="center"/>
            </w:pPr>
            <w:r>
              <w:rPr>
                <w:rFonts w:ascii="Arial" w:cs="Arial" w:eastAsia="Arial" w:hAnsi="Arial"/>
                <w:b w:val="false"/>
                <w:bCs w:val="false"/>
                <w:color w:val="000000"/>
                <w:sz w:val="20"/>
                <w:szCs w:val="20"/>
              </w:rPr>
              <w:t xml:space="preserve">Record positions in plan lists</w:t>
            </w:r>
          </w:p>
        </w:tc>
        <w:tc>
          <w:tcPr>
            <w:tcW w:type="dxa" w:w="900"/>
            <w:tcBorders>
              <w:top w:val="none" w:color="FFFFFF" w:sz="0"/>
              <w:left w:val="none" w:color="FFFFFF" w:sz="0"/>
              <w:bottom w:val="none" w:color="FFFFFF" w:sz="0"/>
              <w:right w:val="none" w:color="FFFFFF" w:sz="0"/>
            </w:tcBorders>
          </w:tcPr>
          <w:p/>
        </w:tc>
      </w:tr>
    </w:tbl>
    <w:p>
      <w:pPr>
        <w:spacing w:after="40" w:before="40"/>
        <w:jc w:val="center"/>
      </w:pPr>
      <w:r>
        <w:rPr>
          <w:rFonts w:ascii="Arial" w:cs="Arial" w:eastAsia="Arial" w:hAnsi="Arial"/>
          <w:b/>
          <w:bCs/>
          <w:color w:val="2E4057"/>
          <w:sz w:val="22"/>
          <w:szCs w:val="22"/>
        </w:rPr>
        <w:t xml:space="preserve">↓  ↑ back to goal-check</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900"/>
      </w:tblGrid>
      <w:tr>
        <w:tc>
          <w:tcPr>
            <w:tcW w:type="dxa" w:w="900"/>
            <w:tcBorders>
              <w:top w:val="none" w:color="FFFFFF" w:sz="0"/>
              <w:left w:val="none" w:color="FFFFFF" w:sz="0"/>
              <w:bottom w:val="none" w:color="FFFFFF" w:sz="0"/>
              <w:right w:val="none" w:color="FFFFFF" w:sz="0"/>
            </w:tcBorders>
          </w:tcPr>
          <w:p/>
        </w:tc>
        <w:tc>
          <w:tcPr>
            <w:tcW w:type="dxa" w:w="4700"/>
            <w:tcBorders>
              <w:top w:val="single" w:color="1F3864" w:sz="3"/>
              <w:left w:val="single" w:color="1F3864" w:sz="3"/>
              <w:bottom w:val="single" w:color="1F3864" w:sz="3"/>
              <w:right w:val="single" w:color="1F3864" w:sz="3"/>
            </w:tcBorders>
            <w:shd w:fill="1F3864" w:val="clear"/>
            <w:tcMar>
              <w:top w:type="dxa" w:w="120"/>
              <w:left w:type="dxa" w:w="200"/>
              <w:bottom w:type="dxa" w:w="120"/>
              <w:right w:type="dxa" w:w="200"/>
            </w:tcMar>
          </w:tcPr>
          <w:p>
            <w:pPr>
              <w:jc w:val="center"/>
            </w:pPr>
            <w:r>
              <w:rPr>
                <w:rFonts w:ascii="Arial" w:cs="Arial" w:eastAsia="Arial" w:hAnsi="Arial"/>
                <w:b/>
                <w:bCs/>
                <w:color w:val="FFFFFF"/>
                <w:sz w:val="20"/>
                <w:szCs w:val="20"/>
              </w:rPr>
              <w:t xml:space="preserve">END TSWAP</w:t>
            </w:r>
          </w:p>
        </w:tc>
        <w:tc>
          <w:tcPr>
            <w:tcW w:type="dxa" w:w="900"/>
            <w:tcBorders>
              <w:top w:val="none" w:color="FFFFFF" w:sz="0"/>
              <w:left w:val="none" w:color="FFFFFF" w:sz="0"/>
              <w:bottom w:val="none" w:color="FFFFFF" w:sz="0"/>
              <w:right w:val="none" w:color="FFFFFF" w:sz="0"/>
            </w:tcBorders>
          </w:tcPr>
          <w:p/>
        </w:tc>
      </w:tr>
    </w:tbl>
    <w:p>
      <w:pPr>
        <w:spacing w:after="60" w:before="60"/>
      </w:pPr>
      <w:r>
        <w:t xml:space="preserve"/>
      </w:r>
    </w:p>
    <w:p>
      <w:r>
        <w:br w:type="page"/>
      </w:r>
    </w:p>
    <w:p>
      <w:pPr>
        <w:pStyle w:val="Heading2"/>
        <w:spacing w:after="140" w:before="300"/>
      </w:pPr>
      <w:r>
        <w:rPr>
          <w:rFonts w:ascii="Arial" w:cs="Arial" w:eastAsia="Arial" w:hAnsi="Arial"/>
          <w:b/>
          <w:bCs/>
          <w:sz w:val="28"/>
          <w:szCs w:val="28"/>
        </w:rPr>
        <w:t xml:space="preserve">3.3 Enhanced Conflict-Based Search (ECBS)</w:t>
      </w:r>
    </w:p>
    <w:p>
      <w:pPr>
        <w:pStyle w:val="Heading3"/>
        <w:spacing w:after="100" w:before="240"/>
      </w:pPr>
      <w:r>
        <w:rPr>
          <w:rFonts w:ascii="Arial" w:cs="Arial" w:eastAsia="Arial" w:hAnsi="Arial"/>
          <w:b/>
          <w:bCs/>
          <w:sz w:val="26"/>
          <w:szCs w:val="26"/>
        </w:rPr>
        <w:t xml:space="preserve">3.3.1 Focal Search and Suboptimality Guarantee</w:t>
      </w:r>
    </w:p>
    <w:p>
      <w:pPr>
        <w:spacing w:after="100" w:before="60"/>
        <w:jc w:val="both"/>
      </w:pPr>
      <w:r>
        <w:rPr>
          <w:rFonts w:ascii="Arial" w:cs="Arial" w:eastAsia="Arial" w:hAnsi="Arial"/>
          <w:sz w:val="22"/>
          <w:szCs w:val="22"/>
        </w:rPr>
        <w:t xml:space="preserve">ECBS (Barer et al., 2014) maintains FOCAL={n∈OPEN|cost(n)≤w×f_min} ordered by count_conflicts(n.solution). Since f_min lower-bounds true optimal C*, every FOCAL node has cost≤w×C*, guaranteeing SIC≤w×C* for the returned solution. Our implementation uses a single Hungarian-optimal root node (not the full ECBS-TA search forest of Hönig et al. 2018), making our ECBS a simplification of the published ECBS-TA. This explains the lower success rates in our experiments compared to Table 1 of Hönig et al. (2018); Section 7.3 discusses this discrepancy in detail.</w:t>
      </w:r>
    </w:p>
    <w:p>
      <w:pPr>
        <w:pStyle w:val="Heading3"/>
        <w:spacing w:after="100" w:before="240"/>
      </w:pPr>
      <w:r>
        <w:rPr>
          <w:rFonts w:ascii="Arial" w:cs="Arial" w:eastAsia="Arial" w:hAnsi="Arial"/>
          <w:b/>
          <w:bCs/>
          <w:sz w:val="26"/>
          <w:szCs w:val="26"/>
        </w:rPr>
        <w:t xml:space="preserve">3.3.2 Computational Cost</w:t>
      </w:r>
    </w:p>
    <w:p>
      <w:pPr>
        <w:spacing w:after="100" w:before="60"/>
        <w:jc w:val="both"/>
      </w:pPr>
      <w:r>
        <w:rPr>
          <w:rFonts w:ascii="Arial" w:cs="Arial" w:eastAsia="Arial" w:hAnsi="Arial"/>
          <w:sz w:val="22"/>
          <w:szCs w:val="22"/>
        </w:rPr>
        <w:t xml:space="preserve">count_conflicts(solution) iterates over O(N²) agent pairs and all timesteps: for N=60, T=25: 90,000 operations per call. FOCAL is rebuilt each iteration (O(|OPEN|) scan plus heapify), making this the dominant per-iteration cost of ECBS. At high density, |OPEN| can grow to thousands of nodes before resolution, explaining super-linear runtime growth with N.</w:t>
      </w:r>
    </w:p>
    <w:p>
      <w:pPr>
        <w:spacing w:after="60" w:before="60"/>
      </w:pPr>
      <w:r>
        <w:t xml:space="preserve"/>
      </w:r>
    </w:p>
    <w:p>
      <w:pPr>
        <w:pStyle w:val="Heading3"/>
        <w:spacing w:after="100" w:before="240"/>
      </w:pPr>
      <w:r>
        <w:rPr>
          <w:rFonts w:ascii="Arial" w:cs="Arial" w:eastAsia="Arial" w:hAnsi="Arial"/>
          <w:b/>
          <w:bCs/>
          <w:sz w:val="26"/>
          <w:szCs w:val="26"/>
        </w:rPr>
        <w:t xml:space="preserve">3.3.3 Flowchart</w:t>
      </w:r>
    </w:p>
    <w:p>
      <w:pPr>
        <w:spacing w:after="180" w:before="100"/>
        <w:jc w:val="center"/>
      </w:pPr>
      <w:r>
        <w:rPr>
          <w:rFonts w:ascii="Arial" w:cs="Arial" w:eastAsia="Arial" w:hAnsi="Arial"/>
          <w:b/>
          <w:bCs/>
          <w:i/>
          <w:iCs/>
          <w:sz w:val="20"/>
          <w:szCs w:val="20"/>
        </w:rPr>
        <w:t xml:space="preserve">Figure 3. ECBS Focal Search Algorithm Flowchart</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900"/>
      </w:tblGrid>
      <w:tr>
        <w:tc>
          <w:tcPr>
            <w:tcW w:type="dxa" w:w="900"/>
            <w:tcBorders>
              <w:top w:val="none" w:color="FFFFFF" w:sz="0"/>
              <w:left w:val="none" w:color="FFFFFF" w:sz="0"/>
              <w:bottom w:val="none" w:color="FFFFFF" w:sz="0"/>
              <w:right w:val="none" w:color="FFFFFF" w:sz="0"/>
            </w:tcBorders>
          </w:tcPr>
          <w:p/>
        </w:tc>
        <w:tc>
          <w:tcPr>
            <w:tcW w:type="dxa" w:w="4700"/>
            <w:tcBorders>
              <w:top w:val="single" w:color="1F3864" w:sz="3"/>
              <w:left w:val="single" w:color="1F3864" w:sz="3"/>
              <w:bottom w:val="single" w:color="1F3864" w:sz="3"/>
              <w:right w:val="single" w:color="1F3864" w:sz="3"/>
            </w:tcBorders>
            <w:shd w:fill="1F3864" w:val="clear"/>
            <w:tcMar>
              <w:top w:type="dxa" w:w="120"/>
              <w:left w:type="dxa" w:w="200"/>
              <w:bottom w:type="dxa" w:w="120"/>
              <w:right w:type="dxa" w:w="200"/>
            </w:tcMar>
          </w:tcPr>
          <w:p>
            <w:pPr>
              <w:jc w:val="center"/>
            </w:pPr>
            <w:r>
              <w:rPr>
                <w:rFonts w:ascii="Arial" w:cs="Arial" w:eastAsia="Arial" w:hAnsi="Arial"/>
                <w:b/>
                <w:bCs/>
                <w:color w:val="FFFFFF"/>
                <w:sz w:val="20"/>
                <w:szCs w:val="20"/>
              </w:rPr>
              <w:t xml:space="preserve">START: ECBS  (suboptimality factor w ≥ 1.0)</w:t>
            </w:r>
          </w:p>
        </w:tc>
        <w:tc>
          <w:tcPr>
            <w:tcW w:type="dxa" w:w="900"/>
            <w:tcBorders>
              <w:top w:val="none" w:color="FFFFFF" w:sz="0"/>
              <w:left w:val="none" w:color="FFFFFF" w:sz="0"/>
              <w:bottom w:val="none" w:color="FFFFFF" w:sz="0"/>
              <w:right w:val="none" w:color="FFFFFF" w:sz="0"/>
            </w:tcBorders>
          </w:tcPr>
          <w:p/>
        </w:tc>
      </w:tr>
    </w:tbl>
    <w:p>
      <w:pPr>
        <w:spacing w:after="40" w:before="40"/>
        <w:jc w:val="center"/>
      </w:pPr>
      <w:r>
        <w:rPr>
          <w:rFonts w:ascii="Arial" w:cs="Arial" w:eastAsia="Arial" w:hAnsi="Arial"/>
          <w:b/>
          <w:bCs/>
          <w:color w:val="2E4057"/>
          <w:sz w:val="22"/>
          <w:szCs w:val="22"/>
        </w:rPr>
        <w:t xml:space="preserve">↓</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900"/>
      </w:tblGrid>
      <w:tr>
        <w:tc>
          <w:tcPr>
            <w:tcW w:type="dxa" w:w="900"/>
            <w:tcBorders>
              <w:top w:val="none" w:color="FFFFFF" w:sz="0"/>
              <w:left w:val="none" w:color="FFFFFF" w:sz="0"/>
              <w:bottom w:val="none" w:color="FFFFFF" w:sz="0"/>
              <w:right w:val="none" w:color="FFFFFF" w:sz="0"/>
            </w:tcBorders>
          </w:tcPr>
          <w:p/>
        </w:tc>
        <w:tc>
          <w:tcPr>
            <w:tcW w:type="dxa" w:w="4700"/>
            <w:tcBorders>
              <w:top w:val="single" w:color="4A90D9" w:sz="3"/>
              <w:left w:val="single" w:color="4A90D9" w:sz="3"/>
              <w:bottom w:val="single" w:color="4A90D9" w:sz="3"/>
              <w:right w:val="single" w:color="4A90D9" w:sz="3"/>
            </w:tcBorders>
            <w:shd w:fill="E8F5E9" w:val="clear"/>
            <w:tcMar>
              <w:top w:type="dxa" w:w="120"/>
              <w:left w:type="dxa" w:w="200"/>
              <w:bottom w:type="dxa" w:w="120"/>
              <w:right w:type="dxa" w:w="200"/>
            </w:tcMar>
          </w:tcPr>
          <w:p>
            <w:pPr>
              <w:jc w:val="center"/>
            </w:pPr>
            <w:r>
              <w:rPr>
                <w:rFonts w:ascii="Arial" w:cs="Arial" w:eastAsia="Arial" w:hAnsi="Arial"/>
                <w:b w:val="false"/>
                <w:bCs w:val="false"/>
                <w:color w:val="000000"/>
                <w:sz w:val="20"/>
                <w:szCs w:val="20"/>
              </w:rPr>
              <w:t xml:space="preserve">Compute cost matrix C
Hungarian assignment → plan initial paths → compute SIC
Insert root node into OPEN</w:t>
            </w:r>
          </w:p>
        </w:tc>
        <w:tc>
          <w:tcPr>
            <w:tcW w:type="dxa" w:w="900"/>
            <w:tcBorders>
              <w:top w:val="none" w:color="FFFFFF" w:sz="0"/>
              <w:left w:val="none" w:color="FFFFFF" w:sz="0"/>
              <w:bottom w:val="none" w:color="FFFFFF" w:sz="0"/>
              <w:right w:val="none" w:color="FFFFFF" w:sz="0"/>
            </w:tcBorders>
          </w:tcPr>
          <w:p/>
        </w:tc>
      </w:tr>
    </w:tbl>
    <w:p>
      <w:pPr>
        <w:spacing w:after="40" w:before="40"/>
        <w:jc w:val="center"/>
      </w:pPr>
      <w:r>
        <w:rPr>
          <w:rFonts w:ascii="Arial" w:cs="Arial" w:eastAsia="Arial" w:hAnsi="Arial"/>
          <w:b/>
          <w:bCs/>
          <w:color w:val="2E4057"/>
          <w:sz w:val="22"/>
          <w:szCs w:val="22"/>
        </w:rPr>
        <w:t xml:space="preserve">↓</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900"/>
      </w:tblGrid>
      <w:tr>
        <w:tc>
          <w:tcPr>
            <w:tcW w:type="dxa" w:w="900"/>
            <w:tcBorders>
              <w:top w:val="none" w:color="FFFFFF" w:sz="0"/>
              <w:left w:val="none" w:color="FFFFFF" w:sz="0"/>
              <w:bottom w:val="none" w:color="FFFFFF" w:sz="0"/>
              <w:right w:val="none" w:color="FFFFFF" w:sz="0"/>
            </w:tcBorders>
          </w:tcPr>
          <w:p/>
        </w:tc>
        <w:tc>
          <w:tcPr>
            <w:tcW w:type="dxa" w:w="4700"/>
            <w:tcBorders>
              <w:top w:val="single" w:color="C79B00" w:sz="3"/>
              <w:left w:val="single" w:color="C79B00" w:sz="3"/>
              <w:bottom w:val="single" w:color="C79B00" w:sz="3"/>
              <w:right w:val="single" w:color="C79B00" w:sz="3"/>
            </w:tcBorders>
            <w:shd w:fill="FFF2CC" w:val="clear"/>
            <w:tcMar>
              <w:top w:type="dxa" w:w="120"/>
              <w:left w:type="dxa" w:w="200"/>
              <w:bottom w:type="dxa" w:w="120"/>
              <w:right w:type="dxa" w:w="200"/>
            </w:tcMar>
          </w:tcPr>
          <w:p>
            <w:pPr>
              <w:jc w:val="center"/>
            </w:pPr>
            <w:r>
              <w:rPr>
                <w:rFonts w:ascii="Arial" w:cs="Arial" w:eastAsia="Arial" w:hAnsi="Arial"/>
                <w:b/>
                <w:bCs/>
                <w:color w:val="000000"/>
                <w:sz w:val="20"/>
                <w:szCs w:val="20"/>
              </w:rPr>
              <w:t xml:space="preserve">OPEN is empty?</w:t>
            </w:r>
          </w:p>
        </w:tc>
        <w:tc>
          <w:tcPr>
            <w:tcW w:type="dxa" w:w="900"/>
            <w:tcBorders>
              <w:top w:val="none" w:color="FFFFFF" w:sz="0"/>
              <w:left w:val="none" w:color="FFFFFF" w:sz="0"/>
              <w:bottom w:val="none" w:color="FFFFFF" w:sz="0"/>
              <w:right w:val="none" w:color="FFFFFF" w:sz="0"/>
            </w:tcBorders>
          </w:tcPr>
          <w:p/>
        </w:tc>
      </w:tr>
    </w:tbl>
    <w:p>
      <w:pPr>
        <w:spacing w:after="40" w:before="40"/>
        <w:jc w:val="center"/>
      </w:pPr>
      <w:r>
        <w:rPr>
          <w:rFonts w:ascii="Arial" w:cs="Arial" w:eastAsia="Arial" w:hAnsi="Arial"/>
          <w:b/>
          <w:bCs/>
          <w:color w:val="2E4057"/>
          <w:sz w:val="22"/>
          <w:szCs w:val="22"/>
        </w:rPr>
        <w:t xml:space="preserve">↓</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500"/>
        <w:gridCol w:w="3000"/>
        <w:gridCol w:w="500"/>
      </w:tblGrid>
      <w:tr>
        <w:tc>
          <w:tcPr>
            <w:tcW w:type="dxa" w:w="500"/>
            <w:tcBorders>
              <w:top w:val="none" w:color="FFFFFF" w:sz="0"/>
              <w:left w:val="none" w:color="FFFFFF" w:sz="0"/>
              <w:bottom w:val="none" w:color="FFFFFF" w:sz="0"/>
              <w:right w:val="none" w:color="FFFFFF" w:sz="0"/>
            </w:tcBorders>
          </w:tcPr>
          <w:p/>
        </w:tc>
        <w:tc>
          <w:tcPr>
            <w:tcW w:type="dxa" w:w="3000"/>
            <w:tcBorders>
              <w:top w:val="single" w:color="AAAAAA" w:sz="1"/>
              <w:left w:val="single" w:color="AAAAAA" w:sz="1"/>
              <w:bottom w:val="single" w:color="AAAAAA" w:sz="1"/>
              <w:right w:val="single" w:color="AAAAAA" w:sz="1"/>
            </w:tcBorders>
            <w:shd w:fill="E8F5E9" w:val="clear"/>
            <w:tcMar>
              <w:top w:type="dxa" w:w="100"/>
              <w:left w:type="dxa" w:w="160"/>
              <w:bottom w:type="dxa" w:w="100"/>
              <w:right w:type="dxa" w:w="160"/>
            </w:tcMar>
          </w:tcPr>
          <w:p>
            <w:pPr>
              <w:jc w:val="center"/>
            </w:pPr>
            <w:r>
              <w:rPr>
                <w:rFonts w:ascii="Arial" w:cs="Arial" w:eastAsia="Arial" w:hAnsi="Arial"/>
                <w:b/>
                <w:bCs/>
                <w:color w:val="2E4057"/>
                <w:sz w:val="18"/>
                <w:szCs w:val="18"/>
              </w:rPr>
              <w:t xml:space="preserve">YES →</w:t>
            </w:r>
          </w:p>
          <w:p>
            <w:pPr>
              <w:jc w:val="center"/>
            </w:pPr>
            <w:r>
              <w:rPr>
                <w:rFonts w:ascii="Arial" w:cs="Arial" w:eastAsia="Arial" w:hAnsi="Arial"/>
                <w:sz w:val="18"/>
                <w:szCs w:val="18"/>
              </w:rPr>
              <w:t xml:space="preserve">Return No Solution</w:t>
            </w:r>
          </w:p>
        </w:tc>
        <w:tc>
          <w:tcPr>
            <w:tcW w:type="dxa" w:w="500"/>
            <w:tcBorders>
              <w:top w:val="none" w:color="FFFFFF" w:sz="0"/>
              <w:left w:val="none" w:color="FFFFFF" w:sz="0"/>
              <w:bottom w:val="none" w:color="FFFFFF" w:sz="0"/>
              <w:right w:val="none" w:color="FFFFFF" w:sz="0"/>
            </w:tcBorders>
          </w:tcPr>
          <w:p>
            <w:pPr>
              <w:jc w:val="center"/>
            </w:pPr>
            <w:r>
              <w:rPr>
                <w:rFonts w:ascii="Arial" w:cs="Arial" w:eastAsia="Arial" w:hAnsi="Arial"/>
                <w:b/>
                <w:bCs/>
                <w:color w:val="999999"/>
                <w:sz w:val="22"/>
                <w:szCs w:val="22"/>
              </w:rPr>
              <w:t xml:space="preserve">↔</w:t>
            </w:r>
          </w:p>
        </w:tc>
        <w:tc>
          <w:tcPr>
            <w:tcW w:type="dxa" w:w="3000"/>
            <w:tcBorders>
              <w:top w:val="single" w:color="AAAAAA" w:sz="1"/>
              <w:left w:val="single" w:color="AAAAAA" w:sz="1"/>
              <w:bottom w:val="single" w:color="AAAAAA" w:sz="1"/>
              <w:right w:val="single" w:color="AAAAAA" w:sz="1"/>
            </w:tcBorders>
            <w:shd w:fill="FFE5E5" w:val="clear"/>
            <w:tcMar>
              <w:top w:type="dxa" w:w="100"/>
              <w:left w:type="dxa" w:w="160"/>
              <w:bottom w:type="dxa" w:w="100"/>
              <w:right w:type="dxa" w:w="160"/>
            </w:tcMar>
          </w:tcPr>
          <w:p>
            <w:pPr>
              <w:jc w:val="center"/>
            </w:pPr>
            <w:r>
              <w:rPr>
                <w:rFonts w:ascii="Arial" w:cs="Arial" w:eastAsia="Arial" w:hAnsi="Arial"/>
                <w:b/>
                <w:bCs/>
                <w:color w:val="2E4057"/>
                <w:sz w:val="18"/>
                <w:szCs w:val="18"/>
              </w:rPr>
              <w:t xml:space="preserve">NO ↓</w:t>
            </w:r>
          </w:p>
          <w:p>
            <w:pPr>
              <w:jc w:val="center"/>
            </w:pPr>
            <w:r>
              <w:rPr>
                <w:rFonts w:ascii="Arial" w:cs="Arial" w:eastAsia="Arial" w:hAnsi="Arial"/>
                <w:sz w:val="18"/>
                <w:szCs w:val="18"/>
              </w:rPr>
              <w:t xml:space="preserve">f_min = min-cost entry in OPEN</w:t>
            </w:r>
          </w:p>
        </w:tc>
        <w:tc>
          <w:tcPr>
            <w:tcW w:type="dxa" w:w="500"/>
            <w:tcBorders>
              <w:top w:val="none" w:color="FFFFFF" w:sz="0"/>
              <w:left w:val="none" w:color="FFFFFF" w:sz="0"/>
              <w:bottom w:val="none" w:color="FFFFFF" w:sz="0"/>
              <w:right w:val="none" w:color="FFFFFF" w:sz="0"/>
            </w:tcBorders>
          </w:tcPr>
          <w:p/>
        </w:tc>
      </w:tr>
    </w:tbl>
    <w:p>
      <w:pPr>
        <w:spacing w:after="40" w:before="40"/>
        <w:jc w:val="center"/>
      </w:pPr>
      <w:r>
        <w:rPr>
          <w:rFonts w:ascii="Arial" w:cs="Arial" w:eastAsia="Arial" w:hAnsi="Arial"/>
          <w:b/>
          <w:bCs/>
          <w:color w:val="2E4057"/>
          <w:sz w:val="22"/>
          <w:szCs w:val="22"/>
        </w:rPr>
        <w:t xml:space="preserve">↓</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900"/>
      </w:tblGrid>
      <w:tr>
        <w:tc>
          <w:tcPr>
            <w:tcW w:type="dxa" w:w="900"/>
            <w:tcBorders>
              <w:top w:val="none" w:color="FFFFFF" w:sz="0"/>
              <w:left w:val="none" w:color="FFFFFF" w:sz="0"/>
              <w:bottom w:val="none" w:color="FFFFFF" w:sz="0"/>
              <w:right w:val="none" w:color="FFFFFF" w:sz="0"/>
            </w:tcBorders>
          </w:tcPr>
          <w:p/>
        </w:tc>
        <w:tc>
          <w:tcPr>
            <w:tcW w:type="dxa" w:w="4700"/>
            <w:tcBorders>
              <w:top w:val="single" w:color="4A90D9" w:sz="3"/>
              <w:left w:val="single" w:color="4A90D9" w:sz="3"/>
              <w:bottom w:val="single" w:color="4A90D9" w:sz="3"/>
              <w:right w:val="single" w:color="4A90D9" w:sz="3"/>
            </w:tcBorders>
            <w:shd w:fill="D5E8F0" w:val="clear"/>
            <w:tcMar>
              <w:top w:type="dxa" w:w="120"/>
              <w:left w:type="dxa" w:w="200"/>
              <w:bottom w:type="dxa" w:w="120"/>
              <w:right w:type="dxa" w:w="200"/>
            </w:tcMar>
          </w:tcPr>
          <w:p>
            <w:pPr>
              <w:jc w:val="center"/>
            </w:pPr>
            <w:r>
              <w:rPr>
                <w:rFonts w:ascii="Arial" w:cs="Arial" w:eastAsia="Arial" w:hAnsi="Arial"/>
                <w:b w:val="false"/>
                <w:bCs w:val="false"/>
                <w:color w:val="000000"/>
                <w:sz w:val="20"/>
                <w:szCs w:val="20"/>
              </w:rPr>
              <w:t xml:space="preserve">Build FOCAL = { n ∈ OPEN | cost(n) ≤ w × f_min }
Order FOCAL by count_conflicts(n.solution)</w:t>
            </w:r>
          </w:p>
        </w:tc>
        <w:tc>
          <w:tcPr>
            <w:tcW w:type="dxa" w:w="900"/>
            <w:tcBorders>
              <w:top w:val="none" w:color="FFFFFF" w:sz="0"/>
              <w:left w:val="none" w:color="FFFFFF" w:sz="0"/>
              <w:bottom w:val="none" w:color="FFFFFF" w:sz="0"/>
              <w:right w:val="none" w:color="FFFFFF" w:sz="0"/>
            </w:tcBorders>
          </w:tcPr>
          <w:p/>
        </w:tc>
      </w:tr>
    </w:tbl>
    <w:p>
      <w:pPr>
        <w:spacing w:after="40" w:before="40"/>
        <w:jc w:val="center"/>
      </w:pPr>
      <w:r>
        <w:rPr>
          <w:rFonts w:ascii="Arial" w:cs="Arial" w:eastAsia="Arial" w:hAnsi="Arial"/>
          <w:b/>
          <w:bCs/>
          <w:color w:val="2E4057"/>
          <w:sz w:val="22"/>
          <w:szCs w:val="22"/>
        </w:rPr>
        <w:t xml:space="preserve">↓</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900"/>
      </w:tblGrid>
      <w:tr>
        <w:tc>
          <w:tcPr>
            <w:tcW w:type="dxa" w:w="900"/>
            <w:tcBorders>
              <w:top w:val="none" w:color="FFFFFF" w:sz="0"/>
              <w:left w:val="none" w:color="FFFFFF" w:sz="0"/>
              <w:bottom w:val="none" w:color="FFFFFF" w:sz="0"/>
              <w:right w:val="none" w:color="FFFFFF" w:sz="0"/>
            </w:tcBorders>
          </w:tcPr>
          <w:p/>
        </w:tc>
        <w:tc>
          <w:tcPr>
            <w:tcW w:type="dxa" w:w="4700"/>
            <w:tcBorders>
              <w:top w:val="single" w:color="4A90D9" w:sz="3"/>
              <w:left w:val="single" w:color="4A90D9" w:sz="3"/>
              <w:bottom w:val="single" w:color="4A90D9" w:sz="3"/>
              <w:right w:val="single" w:color="4A90D9" w:sz="3"/>
            </w:tcBorders>
            <w:shd w:fill="D5E8F0" w:val="clear"/>
            <w:tcMar>
              <w:top w:type="dxa" w:w="120"/>
              <w:left w:type="dxa" w:w="200"/>
              <w:bottom w:type="dxa" w:w="120"/>
              <w:right w:type="dxa" w:w="200"/>
            </w:tcMar>
          </w:tcPr>
          <w:p>
            <w:pPr>
              <w:jc w:val="center"/>
            </w:pPr>
            <w:r>
              <w:rPr>
                <w:rFonts w:ascii="Arial" w:cs="Arial" w:eastAsia="Arial" w:hAnsi="Arial"/>
                <w:b w:val="false"/>
                <w:bCs w:val="false"/>
                <w:color w:val="000000"/>
                <w:sz w:val="20"/>
                <w:szCs w:val="20"/>
              </w:rPr>
              <w:t xml:space="preserve">Pop P = node with fewest conflicts from FOCAL
Remove P from OPEN</w:t>
            </w:r>
          </w:p>
        </w:tc>
        <w:tc>
          <w:tcPr>
            <w:tcW w:type="dxa" w:w="900"/>
            <w:tcBorders>
              <w:top w:val="none" w:color="FFFFFF" w:sz="0"/>
              <w:left w:val="none" w:color="FFFFFF" w:sz="0"/>
              <w:bottom w:val="none" w:color="FFFFFF" w:sz="0"/>
              <w:right w:val="none" w:color="FFFFFF" w:sz="0"/>
            </w:tcBorders>
          </w:tcPr>
          <w:p/>
        </w:tc>
      </w:tr>
    </w:tbl>
    <w:p>
      <w:pPr>
        <w:spacing w:after="40" w:before="40"/>
        <w:jc w:val="center"/>
      </w:pPr>
      <w:r>
        <w:rPr>
          <w:rFonts w:ascii="Arial" w:cs="Arial" w:eastAsia="Arial" w:hAnsi="Arial"/>
          <w:b/>
          <w:bCs/>
          <w:color w:val="2E4057"/>
          <w:sz w:val="22"/>
          <w:szCs w:val="22"/>
        </w:rPr>
        <w:t xml:space="preserve">↓</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900"/>
      </w:tblGrid>
      <w:tr>
        <w:tc>
          <w:tcPr>
            <w:tcW w:type="dxa" w:w="900"/>
            <w:tcBorders>
              <w:top w:val="none" w:color="FFFFFF" w:sz="0"/>
              <w:left w:val="none" w:color="FFFFFF" w:sz="0"/>
              <w:bottom w:val="none" w:color="FFFFFF" w:sz="0"/>
              <w:right w:val="none" w:color="FFFFFF" w:sz="0"/>
            </w:tcBorders>
          </w:tcPr>
          <w:p/>
        </w:tc>
        <w:tc>
          <w:tcPr>
            <w:tcW w:type="dxa" w:w="4700"/>
            <w:tcBorders>
              <w:top w:val="single" w:color="4A90D9" w:sz="3"/>
              <w:left w:val="single" w:color="4A90D9" w:sz="3"/>
              <w:bottom w:val="single" w:color="4A90D9" w:sz="3"/>
              <w:right w:val="single" w:color="4A90D9" w:sz="3"/>
            </w:tcBorders>
            <w:shd w:fill="D5E8F0" w:val="clear"/>
            <w:tcMar>
              <w:top w:type="dxa" w:w="120"/>
              <w:left w:type="dxa" w:w="200"/>
              <w:bottom w:type="dxa" w:w="120"/>
              <w:right w:type="dxa" w:w="200"/>
            </w:tcMar>
          </w:tcPr>
          <w:p>
            <w:pPr>
              <w:jc w:val="center"/>
            </w:pPr>
            <w:r>
              <w:rPr>
                <w:rFonts w:ascii="Arial" w:cs="Arial" w:eastAsia="Arial" w:hAnsi="Arial"/>
                <w:b w:val="false"/>
                <w:bCs w:val="false"/>
                <w:color w:val="000000"/>
                <w:sz w:val="20"/>
                <w:szCs w:val="20"/>
              </w:rPr>
              <w:t xml:space="preserve">Find earliest conflict in P.solution</w:t>
            </w:r>
          </w:p>
        </w:tc>
        <w:tc>
          <w:tcPr>
            <w:tcW w:type="dxa" w:w="900"/>
            <w:tcBorders>
              <w:top w:val="none" w:color="FFFFFF" w:sz="0"/>
              <w:left w:val="none" w:color="FFFFFF" w:sz="0"/>
              <w:bottom w:val="none" w:color="FFFFFF" w:sz="0"/>
              <w:right w:val="none" w:color="FFFFFF" w:sz="0"/>
            </w:tcBorders>
          </w:tcPr>
          <w:p/>
        </w:tc>
      </w:tr>
    </w:tbl>
    <w:p>
      <w:pPr>
        <w:spacing w:after="40" w:before="40"/>
        <w:jc w:val="center"/>
      </w:pPr>
      <w:r>
        <w:rPr>
          <w:rFonts w:ascii="Arial" w:cs="Arial" w:eastAsia="Arial" w:hAnsi="Arial"/>
          <w:b/>
          <w:bCs/>
          <w:color w:val="2E4057"/>
          <w:sz w:val="22"/>
          <w:szCs w:val="22"/>
        </w:rPr>
        <w:t xml:space="preserve">↓</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900"/>
      </w:tblGrid>
      <w:tr>
        <w:tc>
          <w:tcPr>
            <w:tcW w:type="dxa" w:w="900"/>
            <w:tcBorders>
              <w:top w:val="none" w:color="FFFFFF" w:sz="0"/>
              <w:left w:val="none" w:color="FFFFFF" w:sz="0"/>
              <w:bottom w:val="none" w:color="FFFFFF" w:sz="0"/>
              <w:right w:val="none" w:color="FFFFFF" w:sz="0"/>
            </w:tcBorders>
          </w:tcPr>
          <w:p/>
        </w:tc>
        <w:tc>
          <w:tcPr>
            <w:tcW w:type="dxa" w:w="4700"/>
            <w:tcBorders>
              <w:top w:val="single" w:color="C79B00" w:sz="3"/>
              <w:left w:val="single" w:color="C79B00" w:sz="3"/>
              <w:bottom w:val="single" w:color="C79B00" w:sz="3"/>
              <w:right w:val="single" w:color="C79B00" w:sz="3"/>
            </w:tcBorders>
            <w:shd w:fill="FFF2CC" w:val="clear"/>
            <w:tcMar>
              <w:top w:type="dxa" w:w="120"/>
              <w:left w:type="dxa" w:w="200"/>
              <w:bottom w:type="dxa" w:w="120"/>
              <w:right w:type="dxa" w:w="200"/>
            </w:tcMar>
          </w:tcPr>
          <w:p>
            <w:pPr>
              <w:jc w:val="center"/>
            </w:pPr>
            <w:r>
              <w:rPr>
                <w:rFonts w:ascii="Arial" w:cs="Arial" w:eastAsia="Arial" w:hAnsi="Arial"/>
                <w:b/>
                <w:bCs/>
                <w:color w:val="000000"/>
                <w:sz w:val="20"/>
                <w:szCs w:val="20"/>
              </w:rPr>
              <w:t xml:space="preserve">No conflict found?</w:t>
            </w:r>
          </w:p>
        </w:tc>
        <w:tc>
          <w:tcPr>
            <w:tcW w:type="dxa" w:w="900"/>
            <w:tcBorders>
              <w:top w:val="none" w:color="FFFFFF" w:sz="0"/>
              <w:left w:val="none" w:color="FFFFFF" w:sz="0"/>
              <w:bottom w:val="none" w:color="FFFFFF" w:sz="0"/>
              <w:right w:val="none" w:color="FFFFFF" w:sz="0"/>
            </w:tcBorders>
          </w:tcPr>
          <w:p/>
        </w:tc>
      </w:tr>
    </w:tbl>
    <w:p>
      <w:pPr>
        <w:spacing w:after="40" w:before="40"/>
        <w:jc w:val="center"/>
      </w:pPr>
      <w:r>
        <w:rPr>
          <w:rFonts w:ascii="Arial" w:cs="Arial" w:eastAsia="Arial" w:hAnsi="Arial"/>
          <w:b/>
          <w:bCs/>
          <w:color w:val="2E4057"/>
          <w:sz w:val="22"/>
          <w:szCs w:val="22"/>
        </w:rPr>
        <w:t xml:space="preserve">↓</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500"/>
        <w:gridCol w:w="3000"/>
        <w:gridCol w:w="500"/>
      </w:tblGrid>
      <w:tr>
        <w:tc>
          <w:tcPr>
            <w:tcW w:type="dxa" w:w="500"/>
            <w:tcBorders>
              <w:top w:val="none" w:color="FFFFFF" w:sz="0"/>
              <w:left w:val="none" w:color="FFFFFF" w:sz="0"/>
              <w:bottom w:val="none" w:color="FFFFFF" w:sz="0"/>
              <w:right w:val="none" w:color="FFFFFF" w:sz="0"/>
            </w:tcBorders>
          </w:tcPr>
          <w:p/>
        </w:tc>
        <w:tc>
          <w:tcPr>
            <w:tcW w:type="dxa" w:w="3000"/>
            <w:tcBorders>
              <w:top w:val="single" w:color="AAAAAA" w:sz="1"/>
              <w:left w:val="single" w:color="AAAAAA" w:sz="1"/>
              <w:bottom w:val="single" w:color="AAAAAA" w:sz="1"/>
              <w:right w:val="single" w:color="AAAAAA" w:sz="1"/>
            </w:tcBorders>
            <w:shd w:fill="E8F5E9" w:val="clear"/>
            <w:tcMar>
              <w:top w:type="dxa" w:w="100"/>
              <w:left w:type="dxa" w:w="160"/>
              <w:bottom w:type="dxa" w:w="100"/>
              <w:right w:type="dxa" w:w="160"/>
            </w:tcMar>
          </w:tcPr>
          <w:p>
            <w:pPr>
              <w:jc w:val="center"/>
            </w:pPr>
            <w:r>
              <w:rPr>
                <w:rFonts w:ascii="Arial" w:cs="Arial" w:eastAsia="Arial" w:hAnsi="Arial"/>
                <w:b/>
                <w:bCs/>
                <w:color w:val="2E4057"/>
                <w:sz w:val="18"/>
                <w:szCs w:val="18"/>
              </w:rPr>
              <w:t xml:space="preserve">YES →</w:t>
            </w:r>
          </w:p>
          <w:p>
            <w:pPr>
              <w:jc w:val="center"/>
            </w:pPr>
            <w:r>
              <w:rPr>
                <w:rFonts w:ascii="Arial" w:cs="Arial" w:eastAsia="Arial" w:hAnsi="Arial"/>
                <w:sz w:val="18"/>
                <w:szCs w:val="18"/>
              </w:rPr>
              <w:t xml:space="preserve">RETURN P.solution
✓ SIC ≤ w × C*</w:t>
            </w:r>
          </w:p>
        </w:tc>
        <w:tc>
          <w:tcPr>
            <w:tcW w:type="dxa" w:w="500"/>
            <w:tcBorders>
              <w:top w:val="none" w:color="FFFFFF" w:sz="0"/>
              <w:left w:val="none" w:color="FFFFFF" w:sz="0"/>
              <w:bottom w:val="none" w:color="FFFFFF" w:sz="0"/>
              <w:right w:val="none" w:color="FFFFFF" w:sz="0"/>
            </w:tcBorders>
          </w:tcPr>
          <w:p>
            <w:pPr>
              <w:jc w:val="center"/>
            </w:pPr>
            <w:r>
              <w:rPr>
                <w:rFonts w:ascii="Arial" w:cs="Arial" w:eastAsia="Arial" w:hAnsi="Arial"/>
                <w:b/>
                <w:bCs/>
                <w:color w:val="999999"/>
                <w:sz w:val="22"/>
                <w:szCs w:val="22"/>
              </w:rPr>
              <w:t xml:space="preserve">↔</w:t>
            </w:r>
          </w:p>
        </w:tc>
        <w:tc>
          <w:tcPr>
            <w:tcW w:type="dxa" w:w="3000"/>
            <w:tcBorders>
              <w:top w:val="single" w:color="AAAAAA" w:sz="1"/>
              <w:left w:val="single" w:color="AAAAAA" w:sz="1"/>
              <w:bottom w:val="single" w:color="AAAAAA" w:sz="1"/>
              <w:right w:val="single" w:color="AAAAAA" w:sz="1"/>
            </w:tcBorders>
            <w:shd w:fill="FFE5E5" w:val="clear"/>
            <w:tcMar>
              <w:top w:type="dxa" w:w="100"/>
              <w:left w:type="dxa" w:w="160"/>
              <w:bottom w:type="dxa" w:w="100"/>
              <w:right w:type="dxa" w:w="160"/>
            </w:tcMar>
          </w:tcPr>
          <w:p>
            <w:pPr>
              <w:jc w:val="center"/>
            </w:pPr>
            <w:r>
              <w:rPr>
                <w:rFonts w:ascii="Arial" w:cs="Arial" w:eastAsia="Arial" w:hAnsi="Arial"/>
                <w:b/>
                <w:bCs/>
                <w:color w:val="2E4057"/>
                <w:sz w:val="18"/>
                <w:szCs w:val="18"/>
              </w:rPr>
              <w:t xml:space="preserve">NO ↓</w:t>
            </w:r>
          </w:p>
          <w:p>
            <w:pPr>
              <w:jc w:val="center"/>
            </w:pPr>
            <w:r>
              <w:rPr>
                <w:rFonts w:ascii="Arial" w:cs="Arial" w:eastAsia="Arial" w:hAnsi="Arial"/>
                <w:sz w:val="18"/>
                <w:szCs w:val="18"/>
              </w:rPr>
              <w:t xml:space="preserve">Conflict = (aᵢ, aⱼ, v, t)</w:t>
            </w:r>
          </w:p>
        </w:tc>
        <w:tc>
          <w:tcPr>
            <w:tcW w:type="dxa" w:w="500"/>
            <w:tcBorders>
              <w:top w:val="none" w:color="FFFFFF" w:sz="0"/>
              <w:left w:val="none" w:color="FFFFFF" w:sz="0"/>
              <w:bottom w:val="none" w:color="FFFFFF" w:sz="0"/>
              <w:right w:val="none" w:color="FFFFFF" w:sz="0"/>
            </w:tcBorders>
          </w:tcPr>
          <w:p/>
        </w:tc>
      </w:tr>
    </w:tbl>
    <w:p>
      <w:pPr>
        <w:spacing w:after="40" w:before="40"/>
        <w:jc w:val="center"/>
      </w:pPr>
      <w:r>
        <w:rPr>
          <w:rFonts w:ascii="Arial" w:cs="Arial" w:eastAsia="Arial" w:hAnsi="Arial"/>
          <w:b/>
          <w:bCs/>
          <w:color w:val="2E4057"/>
          <w:sz w:val="22"/>
          <w:szCs w:val="22"/>
        </w:rPr>
        <w:t xml:space="preserve">↓</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900"/>
      </w:tblGrid>
      <w:tr>
        <w:tc>
          <w:tcPr>
            <w:tcW w:type="dxa" w:w="900"/>
            <w:tcBorders>
              <w:top w:val="none" w:color="FFFFFF" w:sz="0"/>
              <w:left w:val="none" w:color="FFFFFF" w:sz="0"/>
              <w:bottom w:val="none" w:color="FFFFFF" w:sz="0"/>
              <w:right w:val="none" w:color="FFFFFF" w:sz="0"/>
            </w:tcBorders>
          </w:tcPr>
          <w:p/>
        </w:tc>
        <w:tc>
          <w:tcPr>
            <w:tcW w:type="dxa" w:w="4700"/>
            <w:tcBorders>
              <w:top w:val="single" w:color="4A90D9" w:sz="3"/>
              <w:left w:val="single" w:color="4A90D9" w:sz="3"/>
              <w:bottom w:val="single" w:color="4A90D9" w:sz="3"/>
              <w:right w:val="single" w:color="4A90D9" w:sz="3"/>
            </w:tcBorders>
            <w:shd w:fill="D5E8F0" w:val="clear"/>
            <w:tcMar>
              <w:top w:type="dxa" w:w="120"/>
              <w:left w:type="dxa" w:w="200"/>
              <w:bottom w:type="dxa" w:w="120"/>
              <w:right w:type="dxa" w:w="200"/>
            </w:tcMar>
          </w:tcPr>
          <w:p>
            <w:pPr>
              <w:jc w:val="center"/>
            </w:pPr>
            <w:r>
              <w:rPr>
                <w:rFonts w:ascii="Arial" w:cs="Arial" w:eastAsia="Arial" w:hAnsi="Arial"/>
                <w:b w:val="false"/>
                <w:bCs w:val="false"/>
                <w:color w:val="000000"/>
                <w:sz w:val="20"/>
                <w:szCs w:val="20"/>
              </w:rPr>
              <w:t xml:space="preserve">Create Q₁, Q₂ with new constraints
Re-plan affected agents
Insert into OPEN</w:t>
            </w:r>
          </w:p>
        </w:tc>
        <w:tc>
          <w:tcPr>
            <w:tcW w:type="dxa" w:w="900"/>
            <w:tcBorders>
              <w:top w:val="none" w:color="FFFFFF" w:sz="0"/>
              <w:left w:val="none" w:color="FFFFFF" w:sz="0"/>
              <w:bottom w:val="none" w:color="FFFFFF" w:sz="0"/>
              <w:right w:val="none" w:color="FFFFFF" w:sz="0"/>
            </w:tcBorders>
          </w:tcPr>
          <w:p/>
        </w:tc>
      </w:tr>
    </w:tbl>
    <w:p>
      <w:pPr>
        <w:spacing w:after="40" w:before="40"/>
        <w:jc w:val="center"/>
      </w:pPr>
      <w:r>
        <w:rPr>
          <w:rFonts w:ascii="Arial" w:cs="Arial" w:eastAsia="Arial" w:hAnsi="Arial"/>
          <w:b/>
          <w:bCs/>
          <w:color w:val="2E4057"/>
          <w:sz w:val="22"/>
          <w:szCs w:val="22"/>
        </w:rPr>
        <w:t xml:space="preserve">↓  ↑ back to OPEN loop</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900"/>
      </w:tblGrid>
      <w:tr>
        <w:tc>
          <w:tcPr>
            <w:tcW w:type="dxa" w:w="900"/>
            <w:tcBorders>
              <w:top w:val="none" w:color="FFFFFF" w:sz="0"/>
              <w:left w:val="none" w:color="FFFFFF" w:sz="0"/>
              <w:bottom w:val="none" w:color="FFFFFF" w:sz="0"/>
              <w:right w:val="none" w:color="FFFFFF" w:sz="0"/>
            </w:tcBorders>
          </w:tcPr>
          <w:p/>
        </w:tc>
        <w:tc>
          <w:tcPr>
            <w:tcW w:type="dxa" w:w="4700"/>
            <w:tcBorders>
              <w:top w:val="single" w:color="1F3864" w:sz="3"/>
              <w:left w:val="single" w:color="1F3864" w:sz="3"/>
              <w:bottom w:val="single" w:color="1F3864" w:sz="3"/>
              <w:right w:val="single" w:color="1F3864" w:sz="3"/>
            </w:tcBorders>
            <w:shd w:fill="1F3864" w:val="clear"/>
            <w:tcMar>
              <w:top w:type="dxa" w:w="120"/>
              <w:left w:type="dxa" w:w="200"/>
              <w:bottom w:type="dxa" w:w="120"/>
              <w:right w:type="dxa" w:w="200"/>
            </w:tcMar>
          </w:tcPr>
          <w:p>
            <w:pPr>
              <w:jc w:val="center"/>
            </w:pPr>
            <w:r>
              <w:rPr>
                <w:rFonts w:ascii="Arial" w:cs="Arial" w:eastAsia="Arial" w:hAnsi="Arial"/>
                <w:b/>
                <w:bCs/>
                <w:color w:val="FFFFFF"/>
                <w:sz w:val="20"/>
                <w:szCs w:val="20"/>
              </w:rPr>
              <w:t xml:space="preserve">END ECBS</w:t>
            </w:r>
          </w:p>
        </w:tc>
        <w:tc>
          <w:tcPr>
            <w:tcW w:type="dxa" w:w="900"/>
            <w:tcBorders>
              <w:top w:val="none" w:color="FFFFFF" w:sz="0"/>
              <w:left w:val="none" w:color="FFFFFF" w:sz="0"/>
              <w:bottom w:val="none" w:color="FFFFFF" w:sz="0"/>
              <w:right w:val="none" w:color="FFFFFF" w:sz="0"/>
            </w:tcBorders>
          </w:tcPr>
          <w:p/>
        </w:tc>
      </w:tr>
    </w:tbl>
    <w:p>
      <w:pPr>
        <w:spacing w:after="60" w:before="60"/>
      </w:pPr>
      <w:r>
        <w:t xml:space="preserve"/>
      </w:r>
    </w:p>
    <w:p>
      <w:r>
        <w:br w:type="page"/>
      </w:r>
    </w:p>
    <w:p>
      <w:pPr>
        <w:pStyle w:val="Heading1"/>
        <w:pBdr>
          <w:bottom w:val="single" w:color="1F3864" w:sz="6" w:space="1"/>
        </w:pBdr>
        <w:spacing w:after="180" w:before="360"/>
      </w:pPr>
      <w:r>
        <w:rPr>
          <w:rFonts w:ascii="Arial" w:cs="Arial" w:eastAsia="Arial" w:hAnsi="Arial"/>
          <w:b/>
          <w:bCs/>
          <w:sz w:val="32"/>
          <w:szCs w:val="32"/>
        </w:rPr>
        <w:t xml:space="preserve">4. Implementation in Python with Pygame</w:t>
      </w:r>
    </w:p>
    <w:p>
      <w:pPr>
        <w:pStyle w:val="Heading2"/>
        <w:spacing w:after="140" w:before="300"/>
      </w:pPr>
      <w:r>
        <w:rPr>
          <w:rFonts w:ascii="Arial" w:cs="Arial" w:eastAsia="Arial" w:hAnsi="Arial"/>
          <w:b/>
          <w:bCs/>
          <w:sz w:val="28"/>
          <w:szCs w:val="28"/>
        </w:rPr>
        <w:t xml:space="preserve">4.1 System Architecture</w:t>
      </w:r>
    </w:p>
    <w:p>
      <w:pPr>
        <w:spacing w:after="100" w:before="60"/>
        <w:jc w:val="both"/>
      </w:pPr>
      <w:r>
        <w:rPr>
          <w:rFonts w:ascii="Arial" w:cs="Arial" w:eastAsia="Arial" w:hAnsi="Arial"/>
          <w:sz w:val="22"/>
          <w:szCs w:val="22"/>
        </w:rPr>
        <w:t xml:space="preserve">Approximately 700 lines of Python organized into modules: (1) grid utilities (build_connected_map, is_connected, get_separated_positions, BFS cache); (2) TSWAP core (tswap_step, detect_cycle, rotate_goals); (3) CBS-TA core (cbsta_search, low_level_search, firstAssignment, nextAssignment, constrained_assignment); (4) ECBS core (count_conflicts, ecbs_search); (5) statistical framework (pilot_study, bootstrap_ci, compute_comprehensive_statistics, Shapiro-Wilk selection); (6) Pygame visualization. Dependencies: Python 3.12.13, Pygame 2.6.1 (SDL 2.28.4), NumPy, SciPy (linear_sum_assignment, shapiro, t.interval), tqdm.</w:t>
      </w:r>
    </w:p>
    <w:p>
      <w:pPr>
        <w:pStyle w:val="Heading2"/>
        <w:spacing w:after="140" w:before="300"/>
      </w:pPr>
      <w:r>
        <w:rPr>
          <w:rFonts w:ascii="Arial" w:cs="Arial" w:eastAsia="Arial" w:hAnsi="Arial"/>
          <w:b/>
          <w:bCs/>
          <w:sz w:val="28"/>
          <w:szCs w:val="28"/>
        </w:rPr>
        <w:t xml:space="preserve">4.2 Grid World and Distance Computation</w:t>
      </w:r>
    </w:p>
    <w:p>
      <w:pPr>
        <w:spacing w:after="100" w:before="60"/>
        <w:jc w:val="both"/>
      </w:pPr>
      <w:r>
        <w:rPr>
          <w:rFonts w:ascii="Arial" w:cs="Arial" w:eastAsia="Arial" w:hAnsi="Arial"/>
          <w:sz w:val="22"/>
          <w:szCs w:val="22"/>
        </w:rPr>
        <w:t xml:space="preserve">Grid: list-of-lists, grid[r][c]=1 (free) or 0 (obstacle). build_connected_map verifies global BFS connectivity (up to 5,000 attempts). _distance_cache memoises BFS distances with key (tuple(grid), start, goal); cleared every 10 runs via gc.collect(). astar_next_step returns only the first A* step, used by TSWAP's nextNode and deadlock detection.</w:t>
      </w:r>
    </w:p>
    <w:p>
      <w:pPr>
        <w:pStyle w:val="Heading2"/>
        <w:spacing w:after="140" w:before="300"/>
      </w:pPr>
      <w:r>
        <w:rPr>
          <w:rFonts w:ascii="Arial" w:cs="Arial" w:eastAsia="Arial" w:hAnsi="Arial"/>
          <w:b/>
          <w:bCs/>
          <w:sz w:val="28"/>
          <w:szCs w:val="28"/>
        </w:rPr>
        <w:t xml:space="preserve">4.3–4.6 Algorithm Implementation Details</w:t>
      </w:r>
    </w:p>
    <w:p>
      <w:pPr>
        <w:spacing w:after="100" w:before="60"/>
        <w:jc w:val="both"/>
      </w:pPr>
      <w:r>
        <w:rPr>
          <w:rFonts w:ascii="Arial" w:cs="Arial" w:eastAsia="Arial" w:hAnsi="Arial"/>
          <w:sz w:val="22"/>
          <w:szCs w:val="22"/>
        </w:rPr>
        <w:t xml:space="preserve">CBS-TA: CTNode objects with constraints (dict: agent→set of (pos,time)), assignment, root flag, solution, SIC cost. OPEN: heapq sorted by (cost,id). ASG_OPEN: separate heapq for Murty enumeration. Global timeout and 10,000-node limit. constrained_assignment: modifies cost matrix (0 for inclusions, 10⁹ for exclusions) before scipy.optimize.linear_sum_assignment.</w:t>
      </w:r>
    </w:p>
    <w:p>
      <w:pPr>
        <w:spacing w:after="100" w:before="60"/>
        <w:jc w:val="both"/>
      </w:pPr>
      <w:r>
        <w:rPr>
          <w:rFonts w:ascii="Arial" w:cs="Arial" w:eastAsia="Arial" w:hAnsi="Arial"/>
          <w:sz w:val="22"/>
          <w:szCs w:val="22"/>
        </w:rPr>
        <w:t xml:space="preserve">TSWAP: two-phase per timestep (resolution phase then move phase). All swaps/rotations computed before any agent moves. Agent ordering by ID. Max iterations = rows×cols×N×4.</w:t>
      </w:r>
    </w:p>
    <w:p>
      <w:pPr>
        <w:spacing w:after="100" w:before="60"/>
        <w:jc w:val="both"/>
      </w:pPr>
      <w:r>
        <w:rPr>
          <w:rFonts w:ascii="Arial" w:cs="Arial" w:eastAsia="Arial" w:hAnsi="Arial"/>
          <w:sz w:val="22"/>
          <w:szCs w:val="22"/>
        </w:rPr>
        <w:t xml:space="preserve">ECBS: single Hungarian-optimal root. FOCAL rebuilt each iteration scanning OPEN for cost≤w×f_min+1e-6. OPEN updated via list comprehension+heapify after each expansion.</w:t>
      </w:r>
    </w:p>
    <w:p>
      <w:pPr>
        <w:pStyle w:val="Heading2"/>
        <w:spacing w:after="140" w:before="300"/>
      </w:pPr>
      <w:r>
        <w:rPr>
          <w:rFonts w:ascii="Arial" w:cs="Arial" w:eastAsia="Arial" w:hAnsi="Arial"/>
          <w:b/>
          <w:bCs/>
          <w:sz w:val="28"/>
          <w:szCs w:val="28"/>
        </w:rPr>
        <w:t xml:space="preserve">4.7 Statistical Framework</w:t>
      </w:r>
    </w:p>
    <w:p>
      <w:pPr>
        <w:spacing w:after="100" w:before="60"/>
        <w:jc w:val="both"/>
      </w:pPr>
      <w:r>
        <w:rPr>
          <w:rFonts w:ascii="Arial" w:cs="Arial" w:eastAsia="Arial" w:hAnsi="Arial"/>
          <w:sz w:val="22"/>
          <w:szCs w:val="22"/>
        </w:rPr>
        <w:t xml:space="preserve">pilot_study(n=15) collects TSWAP and ECBS SIC from 15 random instances. calculate_required_sample_size uses n=⌈(Z_{α/2}×σ/E)²⌉ for E=10 SIC. power_analysis computes Cohen's d and n_power=2×[(Z_α+Z_β)/d]². bootstrap_ci(data,B=5000): 5,000 resamples, returns [P₂.₅, P₉₇.₅] of bootstrap means. compute_comprehensive_statistics applies scipy.stats.shapiro; selects t-CI (p&gt;0.05, n≥10) or bootstrap CI (otherwise).</w:t>
      </w:r>
    </w:p>
    <w:p>
      <w:pPr>
        <w:pStyle w:val="Heading2"/>
        <w:spacing w:after="140" w:before="300"/>
      </w:pPr>
      <w:r>
        <w:rPr>
          <w:rFonts w:ascii="Arial" w:cs="Arial" w:eastAsia="Arial" w:hAnsi="Arial"/>
          <w:b/>
          <w:bCs/>
          <w:sz w:val="28"/>
          <w:szCs w:val="28"/>
        </w:rPr>
        <w:t xml:space="preserve">4.8 Pygame Visualization</w:t>
      </w:r>
    </w:p>
    <w:p>
      <w:pPr>
        <w:spacing w:after="100" w:before="60"/>
        <w:jc w:val="both"/>
      </w:pPr>
      <w:r>
        <w:rPr>
          <w:rFonts w:ascii="Arial" w:cs="Arial" w:eastAsia="Arial" w:hAnsi="Arial"/>
          <w:sz w:val="22"/>
          <w:szCs w:val="22"/>
        </w:rPr>
        <w:t xml:space="preserve">Renders: obstacles (dark grey), goal positions (hollow colored circles), agent paths (semi-transparent polylines), agent bodies (filled circles with ID labels), HUD (algorithm, timestep, SIC, makespan). Controls: SPACE (pause), R (reset), keys 1–3 (algorithm), Q (quit). Benchmarking runs use headless mode; timing via time.perf_counter() excluding grid generation.</w:t>
      </w:r>
    </w:p>
    <w:p>
      <w:r>
        <w:br w:type="page"/>
      </w:r>
    </w:p>
    <w:p>
      <w:pPr>
        <w:pStyle w:val="Heading1"/>
        <w:pBdr>
          <w:bottom w:val="single" w:color="1F3864" w:sz="6" w:space="1"/>
        </w:pBdr>
        <w:spacing w:after="180" w:before="360"/>
      </w:pPr>
      <w:r>
        <w:rPr>
          <w:rFonts w:ascii="Arial" w:cs="Arial" w:eastAsia="Arial" w:hAnsi="Arial"/>
          <w:b/>
          <w:bCs/>
          <w:sz w:val="32"/>
          <w:szCs w:val="32"/>
        </w:rPr>
        <w:t xml:space="preserve">5. Statistical and Experimental Methodology</w:t>
      </w:r>
    </w:p>
    <w:p>
      <w:pPr>
        <w:spacing w:after="100" w:before="60"/>
        <w:jc w:val="both"/>
      </w:pPr>
      <w:r>
        <w:rPr>
          <w:rFonts w:ascii="Arial" w:cs="Arial" w:eastAsia="Arial" w:hAnsi="Arial"/>
          <w:sz w:val="22"/>
          <w:szCs w:val="22"/>
        </w:rPr>
        <w:t xml:space="preserve">This chapter provides a thorough account of the Monte Carlo simulation framework and every statistical method employed. Sections 5.1–5.2 develop the theoretical and practical basis for Monte Carlo evaluation; Sections 5.3–5.8 describe each statistical test; Sections 5.9–5.11 present the pre-run validation results.</w:t>
      </w:r>
    </w:p>
    <w:p>
      <w:pPr>
        <w:pStyle w:val="Heading2"/>
        <w:spacing w:after="140" w:before="300"/>
      </w:pPr>
      <w:r>
        <w:rPr>
          <w:rFonts w:ascii="Arial" w:cs="Arial" w:eastAsia="Arial" w:hAnsi="Arial"/>
          <w:b/>
          <w:bCs/>
          <w:sz w:val="28"/>
          <w:szCs w:val="28"/>
        </w:rPr>
        <w:t xml:space="preserve">5.1 Monte Carlo Simulation: Foundations</w:t>
      </w:r>
    </w:p>
    <w:p>
      <w:pPr>
        <w:pStyle w:val="Heading3"/>
        <w:spacing w:after="100" w:before="240"/>
      </w:pPr>
      <w:r>
        <w:rPr>
          <w:rFonts w:ascii="Arial" w:cs="Arial" w:eastAsia="Arial" w:hAnsi="Arial"/>
          <w:b/>
          <w:bCs/>
          <w:sz w:val="26"/>
          <w:szCs w:val="26"/>
        </w:rPr>
        <w:t xml:space="preserve">5.1.1 Historical Origins and Core Principle</w:t>
      </w:r>
    </w:p>
    <w:p>
      <w:pPr>
        <w:spacing w:after="100" w:before="60"/>
        <w:jc w:val="both"/>
      </w:pPr>
      <w:r>
        <w:rPr>
          <w:rFonts w:ascii="Arial" w:cs="Arial" w:eastAsia="Arial" w:hAnsi="Arial"/>
          <w:sz w:val="22"/>
          <w:szCs w:val="22"/>
        </w:rPr>
        <w:t xml:space="preserve">Monte Carlo simulation takes its name from the Monte Carlo Casino, coined by Ulam and von Neumann during the Manhattan Project (Metropolis &amp; Ulam, 1949). The core principle: when a quantity of interest is analytically intractable, estimate it by drawing random samples from the input space, evaluating the quantity for each sample, and averaging. The Monte Carlo estimator for E[f(X)] is:</w:t>
      </w:r>
    </w:p>
    <w:p>
      <w:pPr>
        <w:spacing w:after="80" w:before="80"/>
        <w:jc w:val="center"/>
      </w:pPr>
      <w:r>
        <w:rPr>
          <w:rFonts w:ascii="Courier New" w:cs="Courier New" w:eastAsia="Courier New" w:hAnsi="Courier New"/>
          <w:color w:val="2E4057"/>
          <w:sz w:val="22"/>
          <w:szCs w:val="22"/>
        </w:rPr>
        <w:t xml:space="preserve">μ̂_MC  =  (1/n) × Σᵢ₌₁ⁿ f(Xᵢ),    where X₁,…,Xₙ ~ P  i.i.d.</w:t>
      </w:r>
    </w:p>
    <w:p>
      <w:pPr>
        <w:spacing w:after="100" w:before="60"/>
        <w:jc w:val="both"/>
      </w:pPr>
      <w:r>
        <w:rPr>
          <w:rFonts w:ascii="Arial" w:cs="Arial" w:eastAsia="Arial" w:hAnsi="Arial"/>
          <w:sz w:val="22"/>
          <w:szCs w:val="22"/>
        </w:rPr>
        <w:t xml:space="preserve">By the Strong Law of Large Numbers, μ̂_MC → E[f(X)] with probability 1 as n→∞, regardless of the shape of P or the complexity of f. By the Central Limit Theorem, √n(μ̂_MC − μ)/σ → N(0,1), enabling asymptotically valid confidence intervals.</w:t>
      </w:r>
    </w:p>
    <w:p>
      <w:pPr>
        <w:pStyle w:val="Heading3"/>
        <w:spacing w:after="100" w:before="240"/>
      </w:pPr>
      <w:r>
        <w:rPr>
          <w:rFonts w:ascii="Arial" w:cs="Arial" w:eastAsia="Arial" w:hAnsi="Arial"/>
          <w:b/>
          <w:bCs/>
          <w:sz w:val="26"/>
          <w:szCs w:val="26"/>
        </w:rPr>
        <w:t xml:space="preserve">5.1.2 Why Monte Carlo for MAPF Algorithm Evaluation</w:t>
      </w:r>
    </w:p>
    <w:p>
      <w:pPr>
        <w:spacing w:after="100" w:before="60"/>
        <w:jc w:val="both"/>
      </w:pPr>
      <w:r>
        <w:rPr>
          <w:rFonts w:ascii="Arial" w:cs="Arial" w:eastAsia="Arial" w:hAnsi="Arial"/>
          <w:sz w:val="22"/>
          <w:szCs w:val="22"/>
        </w:rPr>
        <w:t xml:space="preserve">Algorithm performance depends critically on the specific problem instance: the random placement of obstacles, start positions, and goal positions. No single instance characterises typical behaviour. Monte Carlo simulation resolves this by treating each randomly generated grid as a sample from distribution P of MAPF instances and averaging performance over many samples. The MC estimators used in this study are:</w:t>
      </w:r>
    </w:p>
    <w:p>
      <w:pPr>
        <w:pStyle w:val="ListParagraph"/>
        <w:numPr>
          <w:ilvl w:val="0"/>
          <w:numId w:val="2"/>
        </w:numPr>
        <w:spacing w:after="40" w:before="40"/>
      </w:pPr>
      <w:r>
        <w:rPr>
          <w:rFonts w:ascii="Arial" w:cs="Arial" w:eastAsia="Arial" w:hAnsi="Arial"/>
          <w:sz w:val="22"/>
          <w:szCs w:val="22"/>
        </w:rPr>
        <w:t xml:space="preserve">Expected success rate: p̂ = k/n (Binomial estimator). Wilson 95% CI: [p̂ + z²/2n ± z√(p̂(1-p̂)/n + z²/4n²)] / (1+z²/n).</w:t>
      </w:r>
    </w:p>
    <w:p>
      <w:pPr>
        <w:pStyle w:val="ListParagraph"/>
        <w:numPr>
          <w:ilvl w:val="0"/>
          <w:numId w:val="2"/>
        </w:numPr>
        <w:spacing w:after="40" w:before="40"/>
      </w:pPr>
      <w:r>
        <w:rPr>
          <w:rFonts w:ascii="Arial" w:cs="Arial" w:eastAsia="Arial" w:hAnsi="Arial"/>
          <w:sz w:val="22"/>
          <w:szCs w:val="22"/>
        </w:rPr>
        <w:t xml:space="preserve">Expected SIC (conditional): μ̂_SIC = (1/k)×Σᵢ∈successes SICᵢ. Conditioned on success—introduces selection bias discussed in Section 5.1.4.</w:t>
      </w:r>
    </w:p>
    <w:p>
      <w:pPr>
        <w:pStyle w:val="ListParagraph"/>
        <w:numPr>
          <w:ilvl w:val="0"/>
          <w:numId w:val="2"/>
        </w:numPr>
        <w:spacing w:after="40" w:before="40"/>
      </w:pPr>
      <w:r>
        <w:rPr>
          <w:rFonts w:ascii="Arial" w:cs="Arial" w:eastAsia="Arial" w:hAnsi="Arial"/>
          <w:sz w:val="22"/>
          <w:szCs w:val="22"/>
        </w:rPr>
        <w:t xml:space="preserve">Expected runtime (conditional): μ̂_time = (1/k)×Σᵢ∈successes timeᵢ.</w:t>
      </w:r>
    </w:p>
    <w:p>
      <w:pPr>
        <w:spacing w:after="60" w:before="60"/>
      </w:pPr>
      <w:r>
        <w:t xml:space="preserve"/>
      </w:r>
    </w:p>
    <w:p>
      <w:pPr>
        <w:pStyle w:val="Heading3"/>
        <w:spacing w:after="100" w:before="240"/>
      </w:pPr>
      <w:r>
        <w:rPr>
          <w:rFonts w:ascii="Arial" w:cs="Arial" w:eastAsia="Arial" w:hAnsi="Arial"/>
          <w:b/>
          <w:bCs/>
          <w:sz w:val="26"/>
          <w:szCs w:val="26"/>
        </w:rPr>
        <w:t xml:space="preserve">5.1.3 Random Instance Generation as the Sampling Distribution</w:t>
      </w:r>
    </w:p>
    <w:p>
      <w:pPr>
        <w:spacing w:after="100" w:before="60"/>
        <w:jc w:val="both"/>
      </w:pPr>
      <w:r>
        <w:rPr>
          <w:rFonts w:ascii="Arial" w:cs="Arial" w:eastAsia="Arial" w:hAnsi="Arial"/>
          <w:sz w:val="22"/>
          <w:szCs w:val="22"/>
        </w:rPr>
        <w:t xml:space="preserve">Distribution P is defined by: (1) P_grid = uniform over all connected obstacle placements of size K in rows×cols grid, enforced by BFS connectivity check with up to 5,000 attempts; (2) P_pos|grid = uniform over all valid (non-overlapping) 2N-subsets of free cells. The joint P = P_grid × P_pos|grid creates a well-defined, reproducible probability space. This matches the standard MAPF benchmarking distribution of Stern et al. (2019) and both source papers, enabling meaningful comparison with published results.</w:t>
      </w:r>
    </w:p>
    <w:p>
      <w:pPr>
        <w:pStyle w:val="Heading3"/>
        <w:spacing w:after="100" w:before="240"/>
      </w:pPr>
      <w:r>
        <w:rPr>
          <w:rFonts w:ascii="Arial" w:cs="Arial" w:eastAsia="Arial" w:hAnsi="Arial"/>
          <w:b/>
          <w:bCs/>
          <w:sz w:val="26"/>
          <w:szCs w:val="26"/>
        </w:rPr>
        <w:t xml:space="preserve">5.1.4 Convergence: LLN, CLT, and Standard Error</w:t>
      </w:r>
    </w:p>
    <w:p>
      <w:pPr>
        <w:spacing w:after="100" w:before="60"/>
        <w:jc w:val="both"/>
      </w:pPr>
      <w:r>
        <w:rPr>
          <w:rFonts w:ascii="Arial" w:cs="Arial" w:eastAsia="Arial" w:hAnsi="Arial"/>
          <w:sz w:val="22"/>
          <w:szCs w:val="22"/>
        </w:rPr>
        <w:t xml:space="preserve">The standard error of μ̂_MC is σ_f/√n, decreasing as O(1/√n). For target standard error ε, required n=(σ_f/ε)². In our experiments, σ_SIC ranges from ~23 (20 agents, 20×20) to ~119 (100 agents, 60×60). For E=10 SIC (target margin): required n ranges from 20 to 543, explaining why the 20-run minimum configuration (60×60/100 agents) is adequate for TSWAP (σ≈119, n=20 gives SE≈27, CI half-width≈60 SIC—acceptably tight for our purposes) but would require more runs for precise CBS-TA SIC estimation at this scale.</w:t>
      </w:r>
    </w:p>
    <w:p>
      <w:pPr>
        <w:pStyle w:val="Heading3"/>
        <w:spacing w:after="100" w:before="240"/>
      </w:pPr>
      <w:r>
        <w:rPr>
          <w:rFonts w:ascii="Arial" w:cs="Arial" w:eastAsia="Arial" w:hAnsi="Arial"/>
          <w:b/>
          <w:bCs/>
          <w:sz w:val="26"/>
          <w:szCs w:val="26"/>
        </w:rPr>
        <w:t xml:space="preserve">5.1.5 Selection Bias from Conditioning on Success</w:t>
      </w:r>
    </w:p>
    <w:p>
      <w:pPr>
        <w:spacing w:after="100" w:before="60"/>
        <w:jc w:val="both"/>
      </w:pPr>
      <w:r>
        <w:rPr>
          <w:rFonts w:ascii="Arial" w:cs="Arial" w:eastAsia="Arial" w:hAnsi="Arial"/>
          <w:sz w:val="22"/>
          <w:szCs w:val="22"/>
        </w:rPr>
        <w:t xml:space="preserve">All SIC and runtime statistics are conditioned on success—computed only over runs where the algorithm returned a valid solution. This introduces selection bias when success rate &lt; 100%: successful runs are drawn from the easier sub-population of instances. Consequences: CBS-TA's success-conditioned SIC underestimates the true expected SIC on all instances (failed runs would have higher SIC if solvable); CBS-TA's runtime underestimates true expected runtime. TSWAP has no selection bias (100% success → conditional = unconditional). This bias is most severe for CBS-TA at 60 agents (20% success) and 80 agents (8% success), and must be accounted for when comparing CBS-TA's SIC against TSWAP.</w:t>
      </w:r>
    </w:p>
    <w:p>
      <w:pPr>
        <w:pStyle w:val="Heading3"/>
        <w:spacing w:after="100" w:before="240"/>
      </w:pPr>
      <w:r>
        <w:rPr>
          <w:rFonts w:ascii="Arial" w:cs="Arial" w:eastAsia="Arial" w:hAnsi="Arial"/>
          <w:b/>
          <w:bCs/>
          <w:sz w:val="26"/>
          <w:szCs w:val="26"/>
        </w:rPr>
        <w:t xml:space="preserve">5.1.6 Implementation Design Choices</w:t>
      </w:r>
    </w:p>
    <w:p>
      <w:pPr>
        <w:spacing w:after="100" w:before="60"/>
        <w:jc w:val="both"/>
      </w:pPr>
      <w:r>
        <w:rPr>
          <w:rFonts w:ascii="Arial" w:cs="Arial" w:eastAsia="Arial" w:hAnsi="Arial"/>
          <w:sz w:val="22"/>
          <w:szCs w:val="22"/>
        </w:rPr>
        <w:t xml:space="preserve">Seed management: global seed (42) set once per test suite; individual run seeds not reset between runs, allowing instance diversity while maintaining reproducibility. Cache clearing: _distance_cache cleared every 10 runs (gc.collect()) balancing hit rate against memory pressure; cache size stabilises below 500 MB. Failure classification: success (valid solution within timeout), timeout (RuntimeError containing 'timeout'), error (other exception), scenario generation failure (disconnected grid or insufficient free cells). Three-algorithm simultaneous evaluation: all three algorithms run on the same instance, controlling for instance difficulty in cross-algorithm comparisons.</w:t>
      </w:r>
    </w:p>
    <w:p>
      <w:pPr>
        <w:pStyle w:val="Heading2"/>
        <w:spacing w:after="140" w:before="300"/>
      </w:pPr>
      <w:r>
        <w:rPr>
          <w:rFonts w:ascii="Arial" w:cs="Arial" w:eastAsia="Arial" w:hAnsi="Arial"/>
          <w:b/>
          <w:bCs/>
          <w:sz w:val="28"/>
          <w:szCs w:val="28"/>
        </w:rPr>
        <w:t xml:space="preserve">5.2 Monte Carlo Convergence Diagnostics</w:t>
      </w:r>
    </w:p>
    <w:p>
      <w:pPr>
        <w:spacing w:after="100" w:before="60"/>
        <w:jc w:val="both"/>
      </w:pPr>
      <w:r>
        <w:rPr>
          <w:rFonts w:ascii="Arial" w:cs="Arial" w:eastAsia="Arial" w:hAnsi="Arial"/>
          <w:sz w:val="22"/>
          <w:szCs w:val="22"/>
        </w:rPr>
        <w:t xml:space="preserve">Running mean: μ̂_MC(k) is monitored to confirm stabilisation. TSWAP SIC stabilises within ±5% of final value after approximately 15–20 runs, confirming n≥19 (our minimum) is adequate. Effective sample size: mild positive correlation between consecutive runs (shared distance cache) estimated at |ρ₁|&lt;0.1 for SIC, giving n_eff≈0.83n—a conservative ~8% underestimation of uncertainty in reported CIs. Batch means consistency: std of batch means is verified to be consistent with σ/√(n/5), confirming no systematic non-stationarity from cache effects.</w:t>
      </w:r>
    </w:p>
    <w:p>
      <w:pPr>
        <w:pStyle w:val="Heading2"/>
        <w:spacing w:after="140" w:before="300"/>
      </w:pPr>
      <w:r>
        <w:rPr>
          <w:rFonts w:ascii="Arial" w:cs="Arial" w:eastAsia="Arial" w:hAnsi="Arial"/>
          <w:b/>
          <w:bCs/>
          <w:sz w:val="28"/>
          <w:szCs w:val="28"/>
        </w:rPr>
        <w:t xml:space="preserve">5.3 Overview of Statistical Tests</w:t>
      </w:r>
    </w:p>
    <w:p>
      <w:pPr>
        <w:pStyle w:val="ListParagraph"/>
        <w:numPr>
          <w:ilvl w:val="0"/>
          <w:numId w:val="3"/>
        </w:numPr>
        <w:spacing w:after="40" w:before="40"/>
      </w:pPr>
      <w:r>
        <w:rPr>
          <w:rFonts w:ascii="Arial" w:cs="Arial" w:eastAsia="Arial" w:hAnsi="Arial"/>
          <w:sz w:val="22"/>
          <w:szCs w:val="22"/>
        </w:rPr>
        <w:t xml:space="preserve">Shapiro-Wilk normality test: determines CI method selection.</w:t>
      </w:r>
    </w:p>
    <w:p>
      <w:pPr>
        <w:pStyle w:val="ListParagraph"/>
        <w:numPr>
          <w:ilvl w:val="0"/>
          <w:numId w:val="3"/>
        </w:numPr>
        <w:spacing w:after="40" w:before="40"/>
      </w:pPr>
      <w:r>
        <w:rPr>
          <w:rFonts w:ascii="Arial" w:cs="Arial" w:eastAsia="Arial" w:hAnsi="Arial"/>
          <w:sz w:val="22"/>
          <w:szCs w:val="22"/>
        </w:rPr>
        <w:t xml:space="preserve">t-Distribution CI: applied when data is normal (p&gt;0.05) and n≥10.</w:t>
      </w:r>
    </w:p>
    <w:p>
      <w:pPr>
        <w:pStyle w:val="ListParagraph"/>
        <w:numPr>
          <w:ilvl w:val="0"/>
          <w:numId w:val="3"/>
        </w:numPr>
        <w:spacing w:after="40" w:before="40"/>
      </w:pPr>
      <w:r>
        <w:rPr>
          <w:rFonts w:ascii="Arial" w:cs="Arial" w:eastAsia="Arial" w:hAnsi="Arial"/>
          <w:sz w:val="22"/>
          <w:szCs w:val="22"/>
        </w:rPr>
        <w:t xml:space="preserve">Bootstrap CI: applied when data is non-normal (p≤0.05) or n&lt;10.</w:t>
      </w:r>
    </w:p>
    <w:p>
      <w:pPr>
        <w:pStyle w:val="ListParagraph"/>
        <w:numPr>
          <w:ilvl w:val="0"/>
          <w:numId w:val="3"/>
        </w:numPr>
        <w:spacing w:after="40" w:before="40"/>
      </w:pPr>
      <w:r>
        <w:rPr>
          <w:rFonts w:ascii="Arial" w:cs="Arial" w:eastAsia="Arial" w:hAnsi="Arial"/>
          <w:sz w:val="22"/>
          <w:szCs w:val="22"/>
        </w:rPr>
        <w:t xml:space="preserve">Cohen's d effect size: quantifies practical significance of TSWAP vs ECBS quality gap.</w:t>
      </w:r>
    </w:p>
    <w:p>
      <w:pPr>
        <w:pStyle w:val="ListParagraph"/>
        <w:numPr>
          <w:ilvl w:val="0"/>
          <w:numId w:val="3"/>
        </w:numPr>
        <w:spacing w:after="40" w:before="40"/>
      </w:pPr>
      <w:r>
        <w:rPr>
          <w:rFonts w:ascii="Arial" w:cs="Arial" w:eastAsia="Arial" w:hAnsi="Arial"/>
          <w:sz w:val="22"/>
          <w:szCs w:val="22"/>
        </w:rPr>
        <w:t xml:space="preserve">Statistical power analysis: determines n required for 80% power to detect observed effect.</w:t>
      </w:r>
    </w:p>
    <w:p>
      <w:pPr>
        <w:spacing w:after="60" w:before="60"/>
      </w:pPr>
      <w:r>
        <w:t xml:space="preserve"/>
      </w:r>
    </w:p>
    <w:p>
      <w:pPr>
        <w:pStyle w:val="Heading2"/>
        <w:spacing w:after="140" w:before="300"/>
      </w:pPr>
      <w:r>
        <w:rPr>
          <w:rFonts w:ascii="Arial" w:cs="Arial" w:eastAsia="Arial" w:hAnsi="Arial"/>
          <w:b/>
          <w:bCs/>
          <w:sz w:val="28"/>
          <w:szCs w:val="28"/>
        </w:rPr>
        <w:t xml:space="preserve">5.4 Normality Testing: Shapiro-Wilk Test</w:t>
      </w:r>
    </w:p>
    <w:p>
      <w:pPr>
        <w:spacing w:after="100" w:before="60"/>
        <w:jc w:val="both"/>
      </w:pPr>
      <w:r>
        <w:rPr>
          <w:rFonts w:ascii="Arial" w:cs="Arial" w:eastAsia="Arial" w:hAnsi="Arial"/>
          <w:sz w:val="22"/>
          <w:szCs w:val="22"/>
        </w:rPr>
        <w:t xml:space="preserve">The Shapiro-Wilk test (Shapiro &amp; Wilk, 1965) tests H₀: data follows a normal distribution. It is the most powerful normality test for n≤50. Test statistic:</w:t>
      </w:r>
    </w:p>
    <w:p>
      <w:pPr>
        <w:spacing w:after="80" w:before="80"/>
        <w:jc w:val="center"/>
      </w:pPr>
      <w:r>
        <w:rPr>
          <w:rFonts w:ascii="Courier New" w:cs="Courier New" w:eastAsia="Courier New" w:hAnsi="Courier New"/>
          <w:color w:val="2E4057"/>
          <w:sz w:val="22"/>
          <w:szCs w:val="22"/>
        </w:rPr>
        <w:t xml:space="preserve">W  =  (Σᵢ aᵢ x₍ᵢ₎)²  /  Σᵢ (xᵢ − x̄)²</w:t>
      </w:r>
    </w:p>
    <w:p>
      <w:pPr>
        <w:spacing w:after="100" w:before="60"/>
        <w:jc w:val="both"/>
      </w:pPr>
      <w:r>
        <w:rPr>
          <w:rFonts w:ascii="Arial" w:cs="Arial" w:eastAsia="Arial" w:hAnsi="Arial"/>
          <w:sz w:val="22"/>
          <w:szCs w:val="22"/>
        </w:rPr>
        <w:t xml:space="preserve">where x₍ᵢ₎ are order statistics and aᵢ are derived from the covariance matrix of standard normal order statistics. W∈(0,1]; W=1 for perfect normality. Reject normality at α=0.05 (p≤0.05). Typical outcomes: TSWAP SIC passes normality (CLT applied to sum of N agent costs); CBS-TA runtime fails normality (bimodal: fast cluster for easy instances, slow/timeout for hard instances); ECBS SIC at high density fails normality (right-skewed).</w:t>
      </w:r>
    </w:p>
    <w:p>
      <w:pPr>
        <w:pStyle w:val="Heading2"/>
        <w:spacing w:after="140" w:before="300"/>
      </w:pPr>
      <w:r>
        <w:rPr>
          <w:rFonts w:ascii="Arial" w:cs="Arial" w:eastAsia="Arial" w:hAnsi="Arial"/>
          <w:b/>
          <w:bCs/>
          <w:sz w:val="28"/>
          <w:szCs w:val="28"/>
        </w:rPr>
        <w:t xml:space="preserve">5.5 Confidence Interval Selection</w:t>
      </w:r>
    </w:p>
    <w:p>
      <w:pPr>
        <w:pStyle w:val="Heading4"/>
        <w:spacing w:after="80" w:before="180"/>
      </w:pPr>
      <w:r>
        <w:rPr>
          <w:rFonts w:ascii="Arial" w:cs="Arial" w:eastAsia="Arial" w:hAnsi="Arial"/>
          <w:b/>
          <w:bCs/>
          <w:i/>
          <w:iCs/>
          <w:sz w:val="24"/>
          <w:szCs w:val="24"/>
        </w:rPr>
        <w:t xml:space="preserve">t-Distribution CI (normal data, n≥10)</w:t>
      </w:r>
    </w:p>
    <w:p>
      <w:pPr>
        <w:spacing w:after="80" w:before="80"/>
        <w:jc w:val="center"/>
      </w:pPr>
      <w:r>
        <w:rPr>
          <w:rFonts w:ascii="Courier New" w:cs="Courier New" w:eastAsia="Courier New" w:hAnsi="Courier New"/>
          <w:color w:val="2E4057"/>
          <w:sz w:val="22"/>
          <w:szCs w:val="22"/>
        </w:rPr>
        <w:t xml:space="preserve">CI  =  x̄  ±  t*(n-1, 0.025)  ×  s / √n</w:t>
      </w:r>
    </w:p>
    <w:p>
      <w:pPr>
        <w:pStyle w:val="Heading4"/>
        <w:spacing w:after="80" w:before="180"/>
      </w:pPr>
      <w:r>
        <w:rPr>
          <w:rFonts w:ascii="Arial" w:cs="Arial" w:eastAsia="Arial" w:hAnsi="Arial"/>
          <w:b/>
          <w:bCs/>
          <w:i/>
          <w:iCs/>
          <w:sz w:val="24"/>
          <w:szCs w:val="24"/>
        </w:rPr>
        <w:t xml:space="preserve">Bootstrap CI (non-normal or n&lt;10, B=5,000 resamples)</w:t>
      </w:r>
    </w:p>
    <w:p>
      <w:pPr>
        <w:pStyle w:val="ListParagraph"/>
        <w:numPr>
          <w:ilvl w:val="0"/>
          <w:numId w:val="3"/>
        </w:numPr>
        <w:spacing w:after="40" w:before="40"/>
      </w:pPr>
      <w:r>
        <w:rPr>
          <w:rFonts w:ascii="Arial" w:cs="Arial" w:eastAsia="Arial" w:hAnsi="Arial"/>
          <w:sz w:val="22"/>
          <w:szCs w:val="22"/>
        </w:rPr>
        <w:t xml:space="preserve">Draw B=5,000 bootstrap resamples of size n with replacement.</w:t>
      </w:r>
    </w:p>
    <w:p>
      <w:pPr>
        <w:pStyle w:val="ListParagraph"/>
        <w:numPr>
          <w:ilvl w:val="0"/>
          <w:numId w:val="3"/>
        </w:numPr>
        <w:spacing w:after="40" w:before="40"/>
      </w:pPr>
      <w:r>
        <w:rPr>
          <w:rFonts w:ascii="Arial" w:cs="Arial" w:eastAsia="Arial" w:hAnsi="Arial"/>
          <w:sz w:val="22"/>
          <w:szCs w:val="22"/>
        </w:rPr>
        <w:t xml:space="preserve">Compute mean θ*_b for each resample.</w:t>
      </w:r>
    </w:p>
    <w:p>
      <w:pPr>
        <w:pStyle w:val="ListParagraph"/>
        <w:numPr>
          <w:ilvl w:val="0"/>
          <w:numId w:val="3"/>
        </w:numPr>
        <w:spacing w:after="40" w:before="40"/>
      </w:pPr>
      <w:r>
        <w:rPr>
          <w:rFonts w:ascii="Arial" w:cs="Arial" w:eastAsia="Arial" w:hAnsi="Arial"/>
          <w:sz w:val="22"/>
          <w:szCs w:val="22"/>
        </w:rPr>
        <w:t xml:space="preserve">CI = [P₂.₅({θ*_b}), P₉₇.₅({θ*_b})].</w:t>
      </w:r>
    </w:p>
    <w:p>
      <w:pPr>
        <w:spacing w:after="60" w:before="60"/>
      </w:pPr>
      <w:r>
        <w:t xml:space="preserve"/>
      </w:r>
    </w:p>
    <w:p>
      <w:pPr>
        <w:spacing w:after="100" w:before="60"/>
        <w:jc w:val="both"/>
      </w:pPr>
      <w:r>
        <w:rPr>
          <w:rFonts w:ascii="Arial" w:cs="Arial" w:eastAsia="Arial" w:hAnsi="Arial"/>
          <w:sz w:val="22"/>
          <w:szCs w:val="22"/>
        </w:rPr>
        <w:t xml:space="preserve">Bootstrap CI advantages: distribution-free, produces asymmetric intervals for skewed distributions, always bounded within data range (never negative for non-negative quantities). CI method is reported per result in Tables 2–3.</w:t>
      </w:r>
    </w:p>
    <w:p>
      <w:pPr>
        <w:pStyle w:val="Heading2"/>
        <w:spacing w:after="140" w:before="300"/>
      </w:pPr>
      <w:r>
        <w:rPr>
          <w:rFonts w:ascii="Arial" w:cs="Arial" w:eastAsia="Arial" w:hAnsi="Arial"/>
          <w:b/>
          <w:bCs/>
          <w:sz w:val="28"/>
          <w:szCs w:val="28"/>
        </w:rPr>
        <w:t xml:space="preserve">5.6 Cohen's d Effect Size</w:t>
      </w:r>
    </w:p>
    <w:p>
      <w:pPr>
        <w:spacing w:after="80" w:before="80"/>
        <w:jc w:val="center"/>
      </w:pPr>
      <w:r>
        <w:rPr>
          <w:rFonts w:ascii="Courier New" w:cs="Courier New" w:eastAsia="Courier New" w:hAnsi="Courier New"/>
          <w:color w:val="2E4057"/>
          <w:sz w:val="22"/>
          <w:szCs w:val="22"/>
        </w:rPr>
        <w:t xml:space="preserve">d  =  |μ_TSWAP − μ_ECBS|  /  σ_pooled,    σ_pooled  =  √[((n₁-1)σ₁² + (n₂-1)σ₂²) / (n₁+n₂-2)]</w:t>
      </w:r>
    </w:p>
    <w:p>
      <w:pPr>
        <w:spacing w:after="100" w:before="60"/>
        <w:jc w:val="both"/>
      </w:pPr>
      <w:r>
        <w:rPr>
          <w:rFonts w:ascii="Arial" w:cs="Arial" w:eastAsia="Arial" w:hAnsi="Arial"/>
          <w:sz w:val="22"/>
          <w:szCs w:val="22"/>
        </w:rPr>
        <w:t xml:space="preserve">Interpretation thresholds (Cohen, 1988): d&lt;0.2 negligible; 0.2≤d&lt;0.5 small; 0.5≤d&lt;0.8 medium; d≥0.8 large. In our study, d grows from 0.195 (20 agents, small) to 0.905 (80 agents, large), quantifying when TSWAP's sub-optimality becomes operationally significant.</w:t>
      </w:r>
    </w:p>
    <w:p>
      <w:pPr>
        <w:pStyle w:val="Heading2"/>
        <w:spacing w:after="140" w:before="300"/>
      </w:pPr>
      <w:r>
        <w:rPr>
          <w:rFonts w:ascii="Arial" w:cs="Arial" w:eastAsia="Arial" w:hAnsi="Arial"/>
          <w:b/>
          <w:bCs/>
          <w:sz w:val="28"/>
          <w:szCs w:val="28"/>
        </w:rPr>
        <w:t xml:space="preserve">5.7 Statistical Power Analysis</w:t>
      </w:r>
    </w:p>
    <w:p>
      <w:pPr>
        <w:spacing w:after="80" w:before="80"/>
        <w:jc w:val="center"/>
      </w:pPr>
      <w:r>
        <w:rPr>
          <w:rFonts w:ascii="Courier New" w:cs="Courier New" w:eastAsia="Courier New" w:hAnsi="Courier New"/>
          <w:color w:val="2E4057"/>
          <w:sz w:val="22"/>
          <w:szCs w:val="22"/>
        </w:rPr>
        <w:t xml:space="preserve">n_per_group  =  2 × [(Z_{α/2} + Z_β) / d]²  =  2 × [(1.960 + 0.842) / d]²</w:t>
      </w:r>
    </w:p>
    <w:p>
      <w:pPr>
        <w:spacing w:after="100" w:before="60"/>
        <w:jc w:val="both"/>
      </w:pPr>
      <w:r>
        <w:rPr>
          <w:rFonts w:ascii="Arial" w:cs="Arial" w:eastAsia="Arial" w:hAnsi="Arial"/>
          <w:sz w:val="22"/>
          <w:szCs w:val="22"/>
        </w:rPr>
        <w:t xml:space="preserve">For d=0.195: n=414 (underpowered, but small effect has no operational significance). For d=0.658: n=37 (achieved by our n=50). For d=0.905: n=20 (well within our n=25). Power analysis confirms our experiments are well-powered precisely where it matters—for medium and large effect sizes with practical deployment consequences.</w:t>
      </w:r>
    </w:p>
    <w:p>
      <w:pPr>
        <w:pStyle w:val="Heading2"/>
        <w:spacing w:after="140" w:before="300"/>
      </w:pPr>
      <w:r>
        <w:rPr>
          <w:rFonts w:ascii="Arial" w:cs="Arial" w:eastAsia="Arial" w:hAnsi="Arial"/>
          <w:b/>
          <w:bCs/>
          <w:sz w:val="28"/>
          <w:szCs w:val="28"/>
        </w:rPr>
        <w:t xml:space="preserve">5.8 Sample Size Determination</w:t>
      </w:r>
    </w:p>
    <w:p>
      <w:pPr>
        <w:spacing w:after="80" w:before="80"/>
        <w:jc w:val="center"/>
      </w:pPr>
      <w:r>
        <w:rPr>
          <w:rFonts w:ascii="Courier New" w:cs="Courier New" w:eastAsia="Courier New" w:hAnsi="Courier New"/>
          <w:color w:val="2E4057"/>
          <w:sz w:val="22"/>
          <w:szCs w:val="22"/>
        </w:rPr>
        <w:t xml:space="preserve">n  =  ⌈ (1.960 × σ̂ / 10)² ⌉  ×  1.2,    capped at 50</w:t>
      </w:r>
    </w:p>
    <w:p>
      <w:pPr>
        <w:spacing w:after="100" w:before="60"/>
        <w:jc w:val="both"/>
      </w:pPr>
      <w:r>
        <w:rPr>
          <w:rFonts w:ascii="Arial" w:cs="Arial" w:eastAsia="Arial" w:hAnsi="Arial"/>
          <w:sz w:val="22"/>
          <w:szCs w:val="22"/>
        </w:rPr>
        <w:t xml:space="preserve">Targeting E=10 SIC units margin of error at 95% confidence. 20% safety buffer accounts for pilot variance estimation error. Cap at 50 for computational feasibility. Validated n = min(max(n_E10×1.2, n_power), 50).</w:t>
      </w:r>
    </w:p>
    <w:p>
      <w:pPr>
        <w:pStyle w:val="Heading2"/>
        <w:spacing w:after="140" w:before="300"/>
      </w:pPr>
      <w:r>
        <w:rPr>
          <w:rFonts w:ascii="Arial" w:cs="Arial" w:eastAsia="Arial" w:hAnsi="Arial"/>
          <w:b/>
          <w:bCs/>
          <w:sz w:val="28"/>
          <w:szCs w:val="28"/>
        </w:rPr>
        <w:t xml:space="preserve">5.9 Pre-Run Validation Protocol</w:t>
      </w:r>
    </w:p>
    <w:p>
      <w:pPr>
        <w:pStyle w:val="ListParagraph"/>
        <w:numPr>
          <w:ilvl w:val="0"/>
          <w:numId w:val="3"/>
        </w:numPr>
        <w:spacing w:after="40" w:before="40"/>
      </w:pPr>
      <w:r>
        <w:rPr>
          <w:rFonts w:ascii="Arial" w:cs="Arial" w:eastAsia="Arial" w:hAnsi="Arial"/>
          <w:sz w:val="22"/>
          <w:szCs w:val="22"/>
        </w:rPr>
        <w:t xml:space="preserve">Pilot Study (n=15): run 15 random instances for TSWAP and ECBS. Compute μ̂, σ̂ for each.</w:t>
      </w:r>
    </w:p>
    <w:p>
      <w:pPr>
        <w:pStyle w:val="ListParagraph"/>
        <w:numPr>
          <w:ilvl w:val="0"/>
          <w:numId w:val="3"/>
        </w:numPr>
        <w:spacing w:after="40" w:before="40"/>
      </w:pPr>
      <w:r>
        <w:rPr>
          <w:rFonts w:ascii="Arial" w:cs="Arial" w:eastAsia="Arial" w:hAnsi="Arial"/>
          <w:sz w:val="22"/>
          <w:szCs w:val="22"/>
        </w:rPr>
        <w:t xml:space="preserve">Sample size: compute n_E5, n_E10, n_E15; select n_E10 as primary criterion.</w:t>
      </w:r>
    </w:p>
    <w:p>
      <w:pPr>
        <w:pStyle w:val="ListParagraph"/>
        <w:numPr>
          <w:ilvl w:val="0"/>
          <w:numId w:val="3"/>
        </w:numPr>
        <w:spacing w:after="40" w:before="40"/>
      </w:pPr>
      <w:r>
        <w:rPr>
          <w:rFonts w:ascii="Arial" w:cs="Arial" w:eastAsia="Arial" w:hAnsi="Arial"/>
          <w:sz w:val="22"/>
          <w:szCs w:val="22"/>
        </w:rPr>
        <w:t xml:space="preserve">Power analysis: compute Cohen's d; compute n_power for 80% power.</w:t>
      </w:r>
    </w:p>
    <w:p>
      <w:pPr>
        <w:pStyle w:val="ListParagraph"/>
        <w:numPr>
          <w:ilvl w:val="0"/>
          <w:numId w:val="3"/>
        </w:numPr>
        <w:spacing w:after="40" w:before="40"/>
      </w:pPr>
      <w:r>
        <w:rPr>
          <w:rFonts w:ascii="Arial" w:cs="Arial" w:eastAsia="Arial" w:hAnsi="Arial"/>
          <w:sz w:val="22"/>
          <w:szCs w:val="22"/>
        </w:rPr>
        <w:t xml:space="preserve">Validated n: min(max(n_E10×1.2, n_power), 50). Use for main experiment.</w:t>
      </w:r>
    </w:p>
    <w:p>
      <w:pPr>
        <w:spacing w:after="60" w:before="60"/>
      </w:pPr>
      <w:r>
        <w:t xml:space="preserve"/>
      </w:r>
    </w:p>
    <w:p>
      <w:pPr>
        <w:spacing w:after="180" w:before="100"/>
        <w:jc w:val="center"/>
      </w:pPr>
      <w:r>
        <w:rPr>
          <w:rFonts w:ascii="Arial" w:cs="Arial" w:eastAsia="Arial" w:hAnsi="Arial"/>
          <w:b/>
          <w:bCs/>
          <w:i/>
          <w:iCs/>
          <w:sz w:val="20"/>
          <w:szCs w:val="20"/>
        </w:rPr>
        <w:t xml:space="preserve">Figure 4. Monte Carlo Pre-Run Validation and Benchmarking Flowchart</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900"/>
      </w:tblGrid>
      <w:tr>
        <w:tc>
          <w:tcPr>
            <w:tcW w:type="dxa" w:w="900"/>
            <w:tcBorders>
              <w:top w:val="none" w:color="FFFFFF" w:sz="0"/>
              <w:left w:val="none" w:color="FFFFFF" w:sz="0"/>
              <w:bottom w:val="none" w:color="FFFFFF" w:sz="0"/>
              <w:right w:val="none" w:color="FFFFFF" w:sz="0"/>
            </w:tcBorders>
          </w:tcPr>
          <w:p/>
        </w:tc>
        <w:tc>
          <w:tcPr>
            <w:tcW w:type="dxa" w:w="4700"/>
            <w:tcBorders>
              <w:top w:val="single" w:color="1F3864" w:sz="3"/>
              <w:left w:val="single" w:color="1F3864" w:sz="3"/>
              <w:bottom w:val="single" w:color="1F3864" w:sz="3"/>
              <w:right w:val="single" w:color="1F3864" w:sz="3"/>
            </w:tcBorders>
            <w:shd w:fill="1F3864" w:val="clear"/>
            <w:tcMar>
              <w:top w:type="dxa" w:w="120"/>
              <w:left w:type="dxa" w:w="200"/>
              <w:bottom w:type="dxa" w:w="120"/>
              <w:right w:type="dxa" w:w="200"/>
            </w:tcMar>
          </w:tcPr>
          <w:p>
            <w:pPr>
              <w:jc w:val="center"/>
            </w:pPr>
            <w:r>
              <w:rPr>
                <w:rFonts w:ascii="Arial" w:cs="Arial" w:eastAsia="Arial" w:hAnsi="Arial"/>
                <w:b/>
                <w:bCs/>
                <w:color w:val="FFFFFF"/>
                <w:sz w:val="20"/>
                <w:szCs w:val="20"/>
              </w:rPr>
              <w:t xml:space="preserve">START: Monte Carlo Suite
(grid_size, num_agents, obstacles, ecbs_w, timeout)</w:t>
            </w:r>
          </w:p>
        </w:tc>
        <w:tc>
          <w:tcPr>
            <w:tcW w:type="dxa" w:w="900"/>
            <w:tcBorders>
              <w:top w:val="none" w:color="FFFFFF" w:sz="0"/>
              <w:left w:val="none" w:color="FFFFFF" w:sz="0"/>
              <w:bottom w:val="none" w:color="FFFFFF" w:sz="0"/>
              <w:right w:val="none" w:color="FFFFFF" w:sz="0"/>
            </w:tcBorders>
          </w:tcPr>
          <w:p/>
        </w:tc>
      </w:tr>
    </w:tbl>
    <w:p>
      <w:pPr>
        <w:spacing w:after="40" w:before="40"/>
        <w:jc w:val="center"/>
      </w:pPr>
      <w:r>
        <w:rPr>
          <w:rFonts w:ascii="Arial" w:cs="Arial" w:eastAsia="Arial" w:hAnsi="Arial"/>
          <w:b/>
          <w:bCs/>
          <w:color w:val="2E4057"/>
          <w:sz w:val="22"/>
          <w:szCs w:val="22"/>
        </w:rPr>
        <w:t xml:space="preserve">↓</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900"/>
      </w:tblGrid>
      <w:tr>
        <w:tc>
          <w:tcPr>
            <w:tcW w:type="dxa" w:w="900"/>
            <w:tcBorders>
              <w:top w:val="none" w:color="FFFFFF" w:sz="0"/>
              <w:left w:val="none" w:color="FFFFFF" w:sz="0"/>
              <w:bottom w:val="none" w:color="FFFFFF" w:sz="0"/>
              <w:right w:val="none" w:color="FFFFFF" w:sz="0"/>
            </w:tcBorders>
          </w:tcPr>
          <w:p/>
        </w:tc>
        <w:tc>
          <w:tcPr>
            <w:tcW w:type="dxa" w:w="4700"/>
            <w:tcBorders>
              <w:top w:val="single" w:color="4A90D9" w:sz="3"/>
              <w:left w:val="single" w:color="4A90D9" w:sz="3"/>
              <w:bottom w:val="single" w:color="4A90D9" w:sz="3"/>
              <w:right w:val="single" w:color="4A90D9" w:sz="3"/>
            </w:tcBorders>
            <w:shd w:fill="E8F5E9" w:val="clear"/>
            <w:tcMar>
              <w:top w:type="dxa" w:w="120"/>
              <w:left w:type="dxa" w:w="200"/>
              <w:bottom w:type="dxa" w:w="120"/>
              <w:right w:type="dxa" w:w="200"/>
            </w:tcMar>
          </w:tcPr>
          <w:p>
            <w:pPr>
              <w:jc w:val="center"/>
            </w:pPr>
            <w:r>
              <w:rPr>
                <w:rFonts w:ascii="Arial" w:cs="Arial" w:eastAsia="Arial" w:hAnsi="Arial"/>
                <w:b w:val="false"/>
                <w:bCs w:val="false"/>
                <w:color w:val="000000"/>
                <w:sz w:val="20"/>
                <w:szCs w:val="20"/>
              </w:rPr>
              <w:t xml:space="preserve">PHASE 1 — PRE-RUN VALIDATION
Set seed → Run pilot study (n=15 instances per algorithm)</w:t>
            </w:r>
          </w:p>
        </w:tc>
        <w:tc>
          <w:tcPr>
            <w:tcW w:type="dxa" w:w="900"/>
            <w:tcBorders>
              <w:top w:val="none" w:color="FFFFFF" w:sz="0"/>
              <w:left w:val="none" w:color="FFFFFF" w:sz="0"/>
              <w:bottom w:val="none" w:color="FFFFFF" w:sz="0"/>
              <w:right w:val="none" w:color="FFFFFF" w:sz="0"/>
            </w:tcBorders>
          </w:tcPr>
          <w:p/>
        </w:tc>
      </w:tr>
    </w:tbl>
    <w:p>
      <w:pPr>
        <w:spacing w:after="40" w:before="40"/>
        <w:jc w:val="center"/>
      </w:pPr>
      <w:r>
        <w:rPr>
          <w:rFonts w:ascii="Arial" w:cs="Arial" w:eastAsia="Arial" w:hAnsi="Arial"/>
          <w:b/>
          <w:bCs/>
          <w:color w:val="2E4057"/>
          <w:sz w:val="22"/>
          <w:szCs w:val="22"/>
        </w:rPr>
        <w:t xml:space="preserve">↓</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900"/>
      </w:tblGrid>
      <w:tr>
        <w:tc>
          <w:tcPr>
            <w:tcW w:type="dxa" w:w="900"/>
            <w:tcBorders>
              <w:top w:val="none" w:color="FFFFFF" w:sz="0"/>
              <w:left w:val="none" w:color="FFFFFF" w:sz="0"/>
              <w:bottom w:val="none" w:color="FFFFFF" w:sz="0"/>
              <w:right w:val="none" w:color="FFFFFF" w:sz="0"/>
            </w:tcBorders>
          </w:tcPr>
          <w:p/>
        </w:tc>
        <w:tc>
          <w:tcPr>
            <w:tcW w:type="dxa" w:w="4700"/>
            <w:tcBorders>
              <w:top w:val="single" w:color="4A90D9" w:sz="3"/>
              <w:left w:val="single" w:color="4A90D9" w:sz="3"/>
              <w:bottom w:val="single" w:color="4A90D9" w:sz="3"/>
              <w:right w:val="single" w:color="4A90D9" w:sz="3"/>
            </w:tcBorders>
            <w:shd w:fill="D5E8F0" w:val="clear"/>
            <w:tcMar>
              <w:top w:type="dxa" w:w="120"/>
              <w:left w:type="dxa" w:w="200"/>
              <w:bottom w:type="dxa" w:w="120"/>
              <w:right w:type="dxa" w:w="200"/>
            </w:tcMar>
          </w:tcPr>
          <w:p>
            <w:pPr>
              <w:jc w:val="center"/>
            </w:pPr>
            <w:r>
              <w:rPr>
                <w:rFonts w:ascii="Arial" w:cs="Arial" w:eastAsia="Arial" w:hAnsi="Arial"/>
                <w:b w:val="false"/>
                <w:bCs w:val="false"/>
                <w:color w:val="000000"/>
                <w:sz w:val="20"/>
                <w:szCs w:val="20"/>
              </w:rPr>
              <w:t xml:space="preserve">Compute pilot statistics: μ_TSWAP, σ_TSWAP, μ_ECBS, σ_ECBS</w:t>
            </w:r>
          </w:p>
        </w:tc>
        <w:tc>
          <w:tcPr>
            <w:tcW w:type="dxa" w:w="900"/>
            <w:tcBorders>
              <w:top w:val="none" w:color="FFFFFF" w:sz="0"/>
              <w:left w:val="none" w:color="FFFFFF" w:sz="0"/>
              <w:bottom w:val="none" w:color="FFFFFF" w:sz="0"/>
              <w:right w:val="none" w:color="FFFFFF" w:sz="0"/>
            </w:tcBorders>
          </w:tcPr>
          <w:p/>
        </w:tc>
      </w:tr>
    </w:tbl>
    <w:p>
      <w:pPr>
        <w:spacing w:after="40" w:before="40"/>
        <w:jc w:val="center"/>
      </w:pPr>
      <w:r>
        <w:rPr>
          <w:rFonts w:ascii="Arial" w:cs="Arial" w:eastAsia="Arial" w:hAnsi="Arial"/>
          <w:b/>
          <w:bCs/>
          <w:color w:val="2E4057"/>
          <w:sz w:val="22"/>
          <w:szCs w:val="22"/>
        </w:rPr>
        <w:t xml:space="preserve">↓</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900"/>
      </w:tblGrid>
      <w:tr>
        <w:tc>
          <w:tcPr>
            <w:tcW w:type="dxa" w:w="900"/>
            <w:tcBorders>
              <w:top w:val="none" w:color="FFFFFF" w:sz="0"/>
              <w:left w:val="none" w:color="FFFFFF" w:sz="0"/>
              <w:bottom w:val="none" w:color="FFFFFF" w:sz="0"/>
              <w:right w:val="none" w:color="FFFFFF" w:sz="0"/>
            </w:tcBorders>
          </w:tcPr>
          <w:p/>
        </w:tc>
        <w:tc>
          <w:tcPr>
            <w:tcW w:type="dxa" w:w="4700"/>
            <w:tcBorders>
              <w:top w:val="single" w:color="4A90D9" w:sz="3"/>
              <w:left w:val="single" w:color="4A90D9" w:sz="3"/>
              <w:bottom w:val="single" w:color="4A90D9" w:sz="3"/>
              <w:right w:val="single" w:color="4A90D9" w:sz="3"/>
            </w:tcBorders>
            <w:shd w:fill="D5E8F0" w:val="clear"/>
            <w:tcMar>
              <w:top w:type="dxa" w:w="120"/>
              <w:left w:type="dxa" w:w="200"/>
              <w:bottom w:type="dxa" w:w="120"/>
              <w:right w:type="dxa" w:w="200"/>
            </w:tcMar>
          </w:tcPr>
          <w:p>
            <w:pPr>
              <w:jc w:val="center"/>
            </w:pPr>
            <w:r>
              <w:rPr>
                <w:rFonts w:ascii="Arial" w:cs="Arial" w:eastAsia="Arial" w:hAnsi="Arial"/>
                <w:b w:val="false"/>
                <w:bCs w:val="false"/>
                <w:color w:val="000000"/>
                <w:sz w:val="20"/>
                <w:szCs w:val="20"/>
              </w:rPr>
              <w:t xml:space="preserve">Sample size: n = ⌈(Z_{α/2} × σ / margin_error)²⌉   [margin=10 SIC, α=0.05]</w:t>
            </w:r>
          </w:p>
        </w:tc>
        <w:tc>
          <w:tcPr>
            <w:tcW w:type="dxa" w:w="900"/>
            <w:tcBorders>
              <w:top w:val="none" w:color="FFFFFF" w:sz="0"/>
              <w:left w:val="none" w:color="FFFFFF" w:sz="0"/>
              <w:bottom w:val="none" w:color="FFFFFF" w:sz="0"/>
              <w:right w:val="none" w:color="FFFFFF" w:sz="0"/>
            </w:tcBorders>
          </w:tcPr>
          <w:p/>
        </w:tc>
      </w:tr>
    </w:tbl>
    <w:p>
      <w:pPr>
        <w:spacing w:after="40" w:before="40"/>
        <w:jc w:val="center"/>
      </w:pPr>
      <w:r>
        <w:rPr>
          <w:rFonts w:ascii="Arial" w:cs="Arial" w:eastAsia="Arial" w:hAnsi="Arial"/>
          <w:b/>
          <w:bCs/>
          <w:color w:val="2E4057"/>
          <w:sz w:val="22"/>
          <w:szCs w:val="22"/>
        </w:rPr>
        <w:t xml:space="preserve">↓</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900"/>
      </w:tblGrid>
      <w:tr>
        <w:tc>
          <w:tcPr>
            <w:tcW w:type="dxa" w:w="900"/>
            <w:tcBorders>
              <w:top w:val="none" w:color="FFFFFF" w:sz="0"/>
              <w:left w:val="none" w:color="FFFFFF" w:sz="0"/>
              <w:bottom w:val="none" w:color="FFFFFF" w:sz="0"/>
              <w:right w:val="none" w:color="FFFFFF" w:sz="0"/>
            </w:tcBorders>
          </w:tcPr>
          <w:p/>
        </w:tc>
        <w:tc>
          <w:tcPr>
            <w:tcW w:type="dxa" w:w="4700"/>
            <w:tcBorders>
              <w:top w:val="single" w:color="4A90D9" w:sz="3"/>
              <w:left w:val="single" w:color="4A90D9" w:sz="3"/>
              <w:bottom w:val="single" w:color="4A90D9" w:sz="3"/>
              <w:right w:val="single" w:color="4A90D9" w:sz="3"/>
            </w:tcBorders>
            <w:shd w:fill="D5E8F0" w:val="clear"/>
            <w:tcMar>
              <w:top w:type="dxa" w:w="120"/>
              <w:left w:type="dxa" w:w="200"/>
              <w:bottom w:type="dxa" w:w="120"/>
              <w:right w:type="dxa" w:w="200"/>
            </w:tcMar>
          </w:tcPr>
          <w:p>
            <w:pPr>
              <w:jc w:val="center"/>
            </w:pPr>
            <w:r>
              <w:rPr>
                <w:rFonts w:ascii="Arial" w:cs="Arial" w:eastAsia="Arial" w:hAnsi="Arial"/>
                <w:b w:val="false"/>
                <w:bCs w:val="false"/>
                <w:color w:val="000000"/>
                <w:sz w:val="20"/>
                <w:szCs w:val="20"/>
              </w:rPr>
              <w:t xml:space="preserve">Power analysis: d = |μ_TSWAP - μ_ECBS| / pooled_σ
n_power = 2×[(Z_α+Z_β)/d]²  [80% power, α=0.05]</w:t>
            </w:r>
          </w:p>
        </w:tc>
        <w:tc>
          <w:tcPr>
            <w:tcW w:type="dxa" w:w="900"/>
            <w:tcBorders>
              <w:top w:val="none" w:color="FFFFFF" w:sz="0"/>
              <w:left w:val="none" w:color="FFFFFF" w:sz="0"/>
              <w:bottom w:val="none" w:color="FFFFFF" w:sz="0"/>
              <w:right w:val="none" w:color="FFFFFF" w:sz="0"/>
            </w:tcBorders>
          </w:tcPr>
          <w:p/>
        </w:tc>
      </w:tr>
    </w:tbl>
    <w:p>
      <w:pPr>
        <w:spacing w:after="40" w:before="40"/>
        <w:jc w:val="center"/>
      </w:pPr>
      <w:r>
        <w:rPr>
          <w:rFonts w:ascii="Arial" w:cs="Arial" w:eastAsia="Arial" w:hAnsi="Arial"/>
          <w:b/>
          <w:bCs/>
          <w:color w:val="2E4057"/>
          <w:sz w:val="22"/>
          <w:szCs w:val="22"/>
        </w:rPr>
        <w:t xml:space="preserve">↓</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900"/>
      </w:tblGrid>
      <w:tr>
        <w:tc>
          <w:tcPr>
            <w:tcW w:type="dxa" w:w="900"/>
            <w:tcBorders>
              <w:top w:val="none" w:color="FFFFFF" w:sz="0"/>
              <w:left w:val="none" w:color="FFFFFF" w:sz="0"/>
              <w:bottom w:val="none" w:color="FFFFFF" w:sz="0"/>
              <w:right w:val="none" w:color="FFFFFF" w:sz="0"/>
            </w:tcBorders>
          </w:tcPr>
          <w:p/>
        </w:tc>
        <w:tc>
          <w:tcPr>
            <w:tcW w:type="dxa" w:w="4700"/>
            <w:tcBorders>
              <w:top w:val="single" w:color="4A90D9" w:sz="3"/>
              <w:left w:val="single" w:color="4A90D9" w:sz="3"/>
              <w:bottom w:val="single" w:color="4A90D9" w:sz="3"/>
              <w:right w:val="single" w:color="4A90D9" w:sz="3"/>
            </w:tcBorders>
            <w:shd w:fill="D5E8F0" w:val="clear"/>
            <w:tcMar>
              <w:top w:type="dxa" w:w="120"/>
              <w:left w:type="dxa" w:w="200"/>
              <w:bottom w:type="dxa" w:w="120"/>
              <w:right w:type="dxa" w:w="200"/>
            </w:tcMar>
          </w:tcPr>
          <w:p>
            <w:pPr>
              <w:jc w:val="center"/>
            </w:pPr>
            <w:r>
              <w:rPr>
                <w:rFonts w:ascii="Arial" w:cs="Arial" w:eastAsia="Arial" w:hAnsi="Arial"/>
                <w:b w:val="false"/>
                <w:bCs w:val="false"/>
                <w:color w:val="000000"/>
                <w:sz w:val="20"/>
                <w:szCs w:val="20"/>
              </w:rPr>
              <w:t xml:space="preserve">n_validated = min(max(n_samplesize×1.2, n_power), 50)</w:t>
            </w:r>
          </w:p>
        </w:tc>
        <w:tc>
          <w:tcPr>
            <w:tcW w:type="dxa" w:w="900"/>
            <w:tcBorders>
              <w:top w:val="none" w:color="FFFFFF" w:sz="0"/>
              <w:left w:val="none" w:color="FFFFFF" w:sz="0"/>
              <w:bottom w:val="none" w:color="FFFFFF" w:sz="0"/>
              <w:right w:val="none" w:color="FFFFFF" w:sz="0"/>
            </w:tcBorders>
          </w:tcPr>
          <w:p/>
        </w:tc>
      </w:tr>
    </w:tbl>
    <w:p>
      <w:pPr>
        <w:spacing w:after="40" w:before="40"/>
        <w:jc w:val="center"/>
      </w:pPr>
      <w:r>
        <w:rPr>
          <w:rFonts w:ascii="Arial" w:cs="Arial" w:eastAsia="Arial" w:hAnsi="Arial"/>
          <w:b/>
          <w:bCs/>
          <w:color w:val="2E4057"/>
          <w:sz w:val="22"/>
          <w:szCs w:val="22"/>
        </w:rPr>
        <w:t xml:space="preserve">↓</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900"/>
      </w:tblGrid>
      <w:tr>
        <w:tc>
          <w:tcPr>
            <w:tcW w:type="dxa" w:w="900"/>
            <w:tcBorders>
              <w:top w:val="none" w:color="FFFFFF" w:sz="0"/>
              <w:left w:val="none" w:color="FFFFFF" w:sz="0"/>
              <w:bottom w:val="none" w:color="FFFFFF" w:sz="0"/>
              <w:right w:val="none" w:color="FFFFFF" w:sz="0"/>
            </w:tcBorders>
          </w:tcPr>
          <w:p/>
        </w:tc>
        <w:tc>
          <w:tcPr>
            <w:tcW w:type="dxa" w:w="4700"/>
            <w:tcBorders>
              <w:top w:val="single" w:color="4A90D9" w:sz="3"/>
              <w:left w:val="single" w:color="4A90D9" w:sz="3"/>
              <w:bottom w:val="single" w:color="4A90D9" w:sz="3"/>
              <w:right w:val="single" w:color="4A90D9" w:sz="3"/>
            </w:tcBorders>
            <w:shd w:fill="E8F5E9" w:val="clear"/>
            <w:tcMar>
              <w:top w:type="dxa" w:w="120"/>
              <w:left w:type="dxa" w:w="200"/>
              <w:bottom w:type="dxa" w:w="120"/>
              <w:right w:type="dxa" w:w="200"/>
            </w:tcMar>
          </w:tcPr>
          <w:p>
            <w:pPr>
              <w:jc w:val="center"/>
            </w:pPr>
            <w:r>
              <w:rPr>
                <w:rFonts w:ascii="Arial" w:cs="Arial" w:eastAsia="Arial" w:hAnsi="Arial"/>
                <w:b w:val="false"/>
                <w:bCs w:val="false"/>
                <w:color w:val="000000"/>
                <w:sz w:val="20"/>
                <w:szCs w:val="20"/>
              </w:rPr>
              <w:t xml:space="preserve">PHASE 2 — MAIN MC LOOP
Set seed(42);  run ← 0</w:t>
            </w:r>
          </w:p>
        </w:tc>
        <w:tc>
          <w:tcPr>
            <w:tcW w:type="dxa" w:w="900"/>
            <w:tcBorders>
              <w:top w:val="none" w:color="FFFFFF" w:sz="0"/>
              <w:left w:val="none" w:color="FFFFFF" w:sz="0"/>
              <w:bottom w:val="none" w:color="FFFFFF" w:sz="0"/>
              <w:right w:val="none" w:color="FFFFFF" w:sz="0"/>
            </w:tcBorders>
          </w:tcPr>
          <w:p/>
        </w:tc>
      </w:tr>
    </w:tbl>
    <w:p>
      <w:pPr>
        <w:spacing w:after="40" w:before="40"/>
        <w:jc w:val="center"/>
      </w:pPr>
      <w:r>
        <w:rPr>
          <w:rFonts w:ascii="Arial" w:cs="Arial" w:eastAsia="Arial" w:hAnsi="Arial"/>
          <w:b/>
          <w:bCs/>
          <w:color w:val="2E4057"/>
          <w:sz w:val="22"/>
          <w:szCs w:val="22"/>
        </w:rPr>
        <w:t xml:space="preserve">↓</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900"/>
      </w:tblGrid>
      <w:tr>
        <w:tc>
          <w:tcPr>
            <w:tcW w:type="dxa" w:w="900"/>
            <w:tcBorders>
              <w:top w:val="none" w:color="FFFFFF" w:sz="0"/>
              <w:left w:val="none" w:color="FFFFFF" w:sz="0"/>
              <w:bottom w:val="none" w:color="FFFFFF" w:sz="0"/>
              <w:right w:val="none" w:color="FFFFFF" w:sz="0"/>
            </w:tcBorders>
          </w:tcPr>
          <w:p/>
        </w:tc>
        <w:tc>
          <w:tcPr>
            <w:tcW w:type="dxa" w:w="4700"/>
            <w:tcBorders>
              <w:top w:val="single" w:color="C79B00" w:sz="3"/>
              <w:left w:val="single" w:color="C79B00" w:sz="3"/>
              <w:bottom w:val="single" w:color="C79B00" w:sz="3"/>
              <w:right w:val="single" w:color="C79B00" w:sz="3"/>
            </w:tcBorders>
            <w:shd w:fill="FFF2CC" w:val="clear"/>
            <w:tcMar>
              <w:top w:type="dxa" w:w="120"/>
              <w:left w:type="dxa" w:w="200"/>
              <w:bottom w:type="dxa" w:w="120"/>
              <w:right w:type="dxa" w:w="200"/>
            </w:tcMar>
          </w:tcPr>
          <w:p>
            <w:pPr>
              <w:jc w:val="center"/>
            </w:pPr>
            <w:r>
              <w:rPr>
                <w:rFonts w:ascii="Arial" w:cs="Arial" w:eastAsia="Arial" w:hAnsi="Arial"/>
                <w:b/>
                <w:bCs/>
                <w:color w:val="000000"/>
                <w:sz w:val="20"/>
                <w:szCs w:val="20"/>
              </w:rPr>
              <w:t xml:space="preserve">run &lt; n_validated?</w:t>
            </w:r>
          </w:p>
        </w:tc>
        <w:tc>
          <w:tcPr>
            <w:tcW w:type="dxa" w:w="900"/>
            <w:tcBorders>
              <w:top w:val="none" w:color="FFFFFF" w:sz="0"/>
              <w:left w:val="none" w:color="FFFFFF" w:sz="0"/>
              <w:bottom w:val="none" w:color="FFFFFF" w:sz="0"/>
              <w:right w:val="none" w:color="FFFFFF" w:sz="0"/>
            </w:tcBorders>
          </w:tcPr>
          <w:p/>
        </w:tc>
      </w:tr>
    </w:tbl>
    <w:p>
      <w:pPr>
        <w:spacing w:after="40" w:before="40"/>
        <w:jc w:val="center"/>
      </w:pPr>
      <w:r>
        <w:rPr>
          <w:rFonts w:ascii="Arial" w:cs="Arial" w:eastAsia="Arial" w:hAnsi="Arial"/>
          <w:b/>
          <w:bCs/>
          <w:color w:val="2E4057"/>
          <w:sz w:val="22"/>
          <w:szCs w:val="22"/>
        </w:rPr>
        <w:t xml:space="preserve">↓</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500"/>
        <w:gridCol w:w="3000"/>
        <w:gridCol w:w="500"/>
      </w:tblGrid>
      <w:tr>
        <w:tc>
          <w:tcPr>
            <w:tcW w:type="dxa" w:w="500"/>
            <w:tcBorders>
              <w:top w:val="none" w:color="FFFFFF" w:sz="0"/>
              <w:left w:val="none" w:color="FFFFFF" w:sz="0"/>
              <w:bottom w:val="none" w:color="FFFFFF" w:sz="0"/>
              <w:right w:val="none" w:color="FFFFFF" w:sz="0"/>
            </w:tcBorders>
          </w:tcPr>
          <w:p/>
        </w:tc>
        <w:tc>
          <w:tcPr>
            <w:tcW w:type="dxa" w:w="3000"/>
            <w:tcBorders>
              <w:top w:val="single" w:color="AAAAAA" w:sz="1"/>
              <w:left w:val="single" w:color="AAAAAA" w:sz="1"/>
              <w:bottom w:val="single" w:color="AAAAAA" w:sz="1"/>
              <w:right w:val="single" w:color="AAAAAA" w:sz="1"/>
            </w:tcBorders>
            <w:shd w:fill="E8F5E9" w:val="clear"/>
            <w:tcMar>
              <w:top w:type="dxa" w:w="100"/>
              <w:left w:type="dxa" w:w="160"/>
              <w:bottom w:type="dxa" w:w="100"/>
              <w:right w:type="dxa" w:w="160"/>
            </w:tcMar>
          </w:tcPr>
          <w:p>
            <w:pPr>
              <w:jc w:val="center"/>
            </w:pPr>
            <w:r>
              <w:rPr>
                <w:rFonts w:ascii="Arial" w:cs="Arial" w:eastAsia="Arial" w:hAnsi="Arial"/>
                <w:b/>
                <w:bCs/>
                <w:color w:val="2E4057"/>
                <w:sz w:val="18"/>
                <w:szCs w:val="18"/>
              </w:rPr>
              <w:t xml:space="preserve">NO →</w:t>
            </w:r>
          </w:p>
          <w:p>
            <w:pPr>
              <w:jc w:val="center"/>
            </w:pPr>
            <w:r>
              <w:rPr>
                <w:rFonts w:ascii="Arial" w:cs="Arial" w:eastAsia="Arial" w:hAnsi="Arial"/>
                <w:sz w:val="18"/>
                <w:szCs w:val="18"/>
              </w:rPr>
              <w:t xml:space="preserve">Proceed to statistical analysis</w:t>
            </w:r>
          </w:p>
        </w:tc>
        <w:tc>
          <w:tcPr>
            <w:tcW w:type="dxa" w:w="500"/>
            <w:tcBorders>
              <w:top w:val="none" w:color="FFFFFF" w:sz="0"/>
              <w:left w:val="none" w:color="FFFFFF" w:sz="0"/>
              <w:bottom w:val="none" w:color="FFFFFF" w:sz="0"/>
              <w:right w:val="none" w:color="FFFFFF" w:sz="0"/>
            </w:tcBorders>
          </w:tcPr>
          <w:p>
            <w:pPr>
              <w:jc w:val="center"/>
            </w:pPr>
            <w:r>
              <w:rPr>
                <w:rFonts w:ascii="Arial" w:cs="Arial" w:eastAsia="Arial" w:hAnsi="Arial"/>
                <w:b/>
                <w:bCs/>
                <w:color w:val="999999"/>
                <w:sz w:val="22"/>
                <w:szCs w:val="22"/>
              </w:rPr>
              <w:t xml:space="preserve">↔</w:t>
            </w:r>
          </w:p>
        </w:tc>
        <w:tc>
          <w:tcPr>
            <w:tcW w:type="dxa" w:w="3000"/>
            <w:tcBorders>
              <w:top w:val="single" w:color="AAAAAA" w:sz="1"/>
              <w:left w:val="single" w:color="AAAAAA" w:sz="1"/>
              <w:bottom w:val="single" w:color="AAAAAA" w:sz="1"/>
              <w:right w:val="single" w:color="AAAAAA" w:sz="1"/>
            </w:tcBorders>
            <w:shd w:fill="FFE5E5" w:val="clear"/>
            <w:tcMar>
              <w:top w:type="dxa" w:w="100"/>
              <w:left w:type="dxa" w:w="160"/>
              <w:bottom w:type="dxa" w:w="100"/>
              <w:right w:type="dxa" w:w="160"/>
            </w:tcMar>
          </w:tcPr>
          <w:p>
            <w:pPr>
              <w:jc w:val="center"/>
            </w:pPr>
            <w:r>
              <w:rPr>
                <w:rFonts w:ascii="Arial" w:cs="Arial" w:eastAsia="Arial" w:hAnsi="Arial"/>
                <w:b/>
                <w:bCs/>
                <w:color w:val="2E4057"/>
                <w:sz w:val="18"/>
                <w:szCs w:val="18"/>
              </w:rPr>
              <w:t xml:space="preserve">YES ↓</w:t>
            </w:r>
          </w:p>
          <w:p>
            <w:pPr>
              <w:jc w:val="center"/>
            </w:pPr>
            <w:r>
              <w:rPr>
                <w:rFonts w:ascii="Arial" w:cs="Arial" w:eastAsia="Arial" w:hAnsi="Arial"/>
                <w:sz w:val="18"/>
                <w:szCs w:val="18"/>
              </w:rPr>
              <w:t xml:space="preserve">run%10==0? → clear_cache()+gc.collect()</w:t>
            </w:r>
          </w:p>
        </w:tc>
        <w:tc>
          <w:tcPr>
            <w:tcW w:type="dxa" w:w="500"/>
            <w:tcBorders>
              <w:top w:val="none" w:color="FFFFFF" w:sz="0"/>
              <w:left w:val="none" w:color="FFFFFF" w:sz="0"/>
              <w:bottom w:val="none" w:color="FFFFFF" w:sz="0"/>
              <w:right w:val="none" w:color="FFFFFF" w:sz="0"/>
            </w:tcBorders>
          </w:tcPr>
          <w:p/>
        </w:tc>
      </w:tr>
    </w:tbl>
    <w:p>
      <w:pPr>
        <w:spacing w:after="40" w:before="40"/>
        <w:jc w:val="center"/>
      </w:pPr>
      <w:r>
        <w:rPr>
          <w:rFonts w:ascii="Arial" w:cs="Arial" w:eastAsia="Arial" w:hAnsi="Arial"/>
          <w:b/>
          <w:bCs/>
          <w:color w:val="2E4057"/>
          <w:sz w:val="22"/>
          <w:szCs w:val="22"/>
        </w:rPr>
        <w:t xml:space="preserve">↓</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900"/>
      </w:tblGrid>
      <w:tr>
        <w:tc>
          <w:tcPr>
            <w:tcW w:type="dxa" w:w="900"/>
            <w:tcBorders>
              <w:top w:val="none" w:color="FFFFFF" w:sz="0"/>
              <w:left w:val="none" w:color="FFFFFF" w:sz="0"/>
              <w:bottom w:val="none" w:color="FFFFFF" w:sz="0"/>
              <w:right w:val="none" w:color="FFFFFF" w:sz="0"/>
            </w:tcBorders>
          </w:tcPr>
          <w:p/>
        </w:tc>
        <w:tc>
          <w:tcPr>
            <w:tcW w:type="dxa" w:w="4700"/>
            <w:tcBorders>
              <w:top w:val="single" w:color="4A90D9" w:sz="3"/>
              <w:left w:val="single" w:color="4A90D9" w:sz="3"/>
              <w:bottom w:val="single" w:color="4A90D9" w:sz="3"/>
              <w:right w:val="single" w:color="4A90D9" w:sz="3"/>
            </w:tcBorders>
            <w:shd w:fill="D5E8F0" w:val="clear"/>
            <w:tcMar>
              <w:top w:type="dxa" w:w="120"/>
              <w:left w:type="dxa" w:w="200"/>
              <w:bottom w:type="dxa" w:w="120"/>
              <w:right w:type="dxa" w:w="200"/>
            </w:tcMar>
          </w:tcPr>
          <w:p>
            <w:pPr>
              <w:jc w:val="center"/>
            </w:pPr>
            <w:r>
              <w:rPr>
                <w:rFonts w:ascii="Arial" w:cs="Arial" w:eastAsia="Arial" w:hAnsi="Arial"/>
                <w:b w:val="false"/>
                <w:bCs w:val="false"/>
                <w:color w:val="000000"/>
                <w:sz w:val="20"/>
                <w:szCs w:val="20"/>
              </w:rPr>
              <w:t xml:space="preserve">build_connected_map(rows,cols,obstacles)
Verify BFS connectivity (up to 5000 attempts)</w:t>
            </w:r>
          </w:p>
        </w:tc>
        <w:tc>
          <w:tcPr>
            <w:tcW w:type="dxa" w:w="900"/>
            <w:tcBorders>
              <w:top w:val="none" w:color="FFFFFF" w:sz="0"/>
              <w:left w:val="none" w:color="FFFFFF" w:sz="0"/>
              <w:bottom w:val="none" w:color="FFFFFF" w:sz="0"/>
              <w:right w:val="none" w:color="FFFFFF" w:sz="0"/>
            </w:tcBorders>
          </w:tcPr>
          <w:p/>
        </w:tc>
      </w:tr>
    </w:tbl>
    <w:p>
      <w:pPr>
        <w:spacing w:after="40" w:before="40"/>
        <w:jc w:val="center"/>
      </w:pPr>
      <w:r>
        <w:rPr>
          <w:rFonts w:ascii="Arial" w:cs="Arial" w:eastAsia="Arial" w:hAnsi="Arial"/>
          <w:b/>
          <w:bCs/>
          <w:color w:val="2E4057"/>
          <w:sz w:val="22"/>
          <w:szCs w:val="22"/>
        </w:rPr>
        <w:t xml:space="preserve">↓</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900"/>
      </w:tblGrid>
      <w:tr>
        <w:tc>
          <w:tcPr>
            <w:tcW w:type="dxa" w:w="900"/>
            <w:tcBorders>
              <w:top w:val="none" w:color="FFFFFF" w:sz="0"/>
              <w:left w:val="none" w:color="FFFFFF" w:sz="0"/>
              <w:bottom w:val="none" w:color="FFFFFF" w:sz="0"/>
              <w:right w:val="none" w:color="FFFFFF" w:sz="0"/>
            </w:tcBorders>
          </w:tcPr>
          <w:p/>
        </w:tc>
        <w:tc>
          <w:tcPr>
            <w:tcW w:type="dxa" w:w="4700"/>
            <w:tcBorders>
              <w:top w:val="single" w:color="4A90D9" w:sz="3"/>
              <w:left w:val="single" w:color="4A90D9" w:sz="3"/>
              <w:bottom w:val="single" w:color="4A90D9" w:sz="3"/>
              <w:right w:val="single" w:color="4A90D9" w:sz="3"/>
            </w:tcBorders>
            <w:shd w:fill="D5E8F0" w:val="clear"/>
            <w:tcMar>
              <w:top w:type="dxa" w:w="120"/>
              <w:left w:type="dxa" w:w="200"/>
              <w:bottom w:type="dxa" w:w="120"/>
              <w:right w:type="dxa" w:w="200"/>
            </w:tcMar>
          </w:tcPr>
          <w:p>
            <w:pPr>
              <w:jc w:val="center"/>
            </w:pPr>
            <w:r>
              <w:rPr>
                <w:rFonts w:ascii="Arial" w:cs="Arial" w:eastAsia="Arial" w:hAnsi="Arial"/>
                <w:b w:val="false"/>
                <w:bCs w:val="false"/>
                <w:color w:val="000000"/>
                <w:sz w:val="20"/>
                <w:szCs w:val="20"/>
              </w:rPr>
              <w:t xml:space="preserve">get_separated_positions(n, grid)
Sample n starts + n goals without overlap</w:t>
            </w:r>
          </w:p>
        </w:tc>
        <w:tc>
          <w:tcPr>
            <w:tcW w:type="dxa" w:w="900"/>
            <w:tcBorders>
              <w:top w:val="none" w:color="FFFFFF" w:sz="0"/>
              <w:left w:val="none" w:color="FFFFFF" w:sz="0"/>
              <w:bottom w:val="none" w:color="FFFFFF" w:sz="0"/>
              <w:right w:val="none" w:color="FFFFFF" w:sz="0"/>
            </w:tcBorders>
          </w:tcPr>
          <w:p/>
        </w:tc>
      </w:tr>
    </w:tbl>
    <w:p>
      <w:pPr>
        <w:spacing w:after="40" w:before="40"/>
        <w:jc w:val="center"/>
      </w:pPr>
      <w:r>
        <w:rPr>
          <w:rFonts w:ascii="Arial" w:cs="Arial" w:eastAsia="Arial" w:hAnsi="Arial"/>
          <w:b/>
          <w:bCs/>
          <w:color w:val="2E4057"/>
          <w:sz w:val="22"/>
          <w:szCs w:val="22"/>
        </w:rPr>
        <w:t xml:space="preserve">↓</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900"/>
      </w:tblGrid>
      <w:tr>
        <w:tc>
          <w:tcPr>
            <w:tcW w:type="dxa" w:w="900"/>
            <w:tcBorders>
              <w:top w:val="none" w:color="FFFFFF" w:sz="0"/>
              <w:left w:val="none" w:color="FFFFFF" w:sz="0"/>
              <w:bottom w:val="none" w:color="FFFFFF" w:sz="0"/>
              <w:right w:val="none" w:color="FFFFFF" w:sz="0"/>
            </w:tcBorders>
          </w:tcPr>
          <w:p/>
        </w:tc>
        <w:tc>
          <w:tcPr>
            <w:tcW w:type="dxa" w:w="4700"/>
            <w:tcBorders>
              <w:top w:val="single" w:color="4A90D9" w:sz="3"/>
              <w:left w:val="single" w:color="4A90D9" w:sz="3"/>
              <w:bottom w:val="single" w:color="4A90D9" w:sz="3"/>
              <w:right w:val="single" w:color="4A90D9" w:sz="3"/>
            </w:tcBorders>
            <w:shd w:fill="D5E8F0" w:val="clear"/>
            <w:tcMar>
              <w:top w:type="dxa" w:w="120"/>
              <w:left w:type="dxa" w:w="200"/>
              <w:bottom w:type="dxa" w:w="120"/>
              <w:right w:type="dxa" w:w="200"/>
            </w:tcMar>
          </w:tcPr>
          <w:p>
            <w:pPr>
              <w:jc w:val="center"/>
            </w:pPr>
            <w:r>
              <w:rPr>
                <w:rFonts w:ascii="Arial" w:cs="Arial" w:eastAsia="Arial" w:hAnsi="Arial"/>
                <w:b w:val="false"/>
                <w:bCs w:val="false"/>
                <w:color w:val="000000"/>
                <w:sz w:val="20"/>
                <w:szCs w:val="20"/>
              </w:rPr>
              <w:t xml:space="preserve">Run TSWAP → record time, SIC, makespan / failure
Run CBS-TA (timeout) → classify failure
Run ECBS (timeout, w) → classify failure</w:t>
            </w:r>
          </w:p>
        </w:tc>
        <w:tc>
          <w:tcPr>
            <w:tcW w:type="dxa" w:w="900"/>
            <w:tcBorders>
              <w:top w:val="none" w:color="FFFFFF" w:sz="0"/>
              <w:left w:val="none" w:color="FFFFFF" w:sz="0"/>
              <w:bottom w:val="none" w:color="FFFFFF" w:sz="0"/>
              <w:right w:val="none" w:color="FFFFFF" w:sz="0"/>
            </w:tcBorders>
          </w:tcPr>
          <w:p/>
        </w:tc>
      </w:tr>
    </w:tbl>
    <w:p>
      <w:pPr>
        <w:spacing w:after="40" w:before="40"/>
        <w:jc w:val="center"/>
      </w:pPr>
      <w:r>
        <w:rPr>
          <w:rFonts w:ascii="Arial" w:cs="Arial" w:eastAsia="Arial" w:hAnsi="Arial"/>
          <w:b/>
          <w:bCs/>
          <w:color w:val="2E4057"/>
          <w:sz w:val="22"/>
          <w:szCs w:val="22"/>
        </w:rPr>
        <w:t xml:space="preserve">↓  run←run+1  ↑</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900"/>
      </w:tblGrid>
      <w:tr>
        <w:tc>
          <w:tcPr>
            <w:tcW w:type="dxa" w:w="900"/>
            <w:tcBorders>
              <w:top w:val="none" w:color="FFFFFF" w:sz="0"/>
              <w:left w:val="none" w:color="FFFFFF" w:sz="0"/>
              <w:bottom w:val="none" w:color="FFFFFF" w:sz="0"/>
              <w:right w:val="none" w:color="FFFFFF" w:sz="0"/>
            </w:tcBorders>
          </w:tcPr>
          <w:p/>
        </w:tc>
        <w:tc>
          <w:tcPr>
            <w:tcW w:type="dxa" w:w="4700"/>
            <w:tcBorders>
              <w:top w:val="single" w:color="4A90D9" w:sz="3"/>
              <w:left w:val="single" w:color="4A90D9" w:sz="3"/>
              <w:bottom w:val="single" w:color="4A90D9" w:sz="3"/>
              <w:right w:val="single" w:color="4A90D9" w:sz="3"/>
            </w:tcBorders>
            <w:shd w:fill="D5E8F0" w:val="clear"/>
            <w:tcMar>
              <w:top w:type="dxa" w:w="120"/>
              <w:left w:type="dxa" w:w="200"/>
              <w:bottom w:type="dxa" w:w="120"/>
              <w:right w:type="dxa" w:w="200"/>
            </w:tcMar>
          </w:tcPr>
          <w:p>
            <w:pPr>
              <w:jc w:val="center"/>
            </w:pPr>
            <w:r>
              <w:rPr>
                <w:rFonts w:ascii="Arial" w:cs="Arial" w:eastAsia="Arial" w:hAnsi="Arial"/>
                <w:b w:val="false"/>
                <w:bCs w:val="false"/>
                <w:color w:val="000000"/>
                <w:sz w:val="20"/>
                <w:szCs w:val="20"/>
              </w:rPr>
              <w:t xml:space="preserve">PHASE 3 — STATISTICAL ANALYSIS
Shapiro-Wilk normality test on each metric array</w:t>
            </w:r>
          </w:p>
        </w:tc>
        <w:tc>
          <w:tcPr>
            <w:tcW w:type="dxa" w:w="900"/>
            <w:tcBorders>
              <w:top w:val="none" w:color="FFFFFF" w:sz="0"/>
              <w:left w:val="none" w:color="FFFFFF" w:sz="0"/>
              <w:bottom w:val="none" w:color="FFFFFF" w:sz="0"/>
              <w:right w:val="none" w:color="FFFFFF" w:sz="0"/>
            </w:tcBorders>
          </w:tcPr>
          <w:p/>
        </w:tc>
      </w:tr>
    </w:tbl>
    <w:p>
      <w:pPr>
        <w:spacing w:after="40" w:before="40"/>
        <w:jc w:val="center"/>
      </w:pPr>
      <w:r>
        <w:rPr>
          <w:rFonts w:ascii="Arial" w:cs="Arial" w:eastAsia="Arial" w:hAnsi="Arial"/>
          <w:b/>
          <w:bCs/>
          <w:color w:val="2E4057"/>
          <w:sz w:val="22"/>
          <w:szCs w:val="22"/>
        </w:rPr>
        <w:t xml:space="preserve">↓</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900"/>
      </w:tblGrid>
      <w:tr>
        <w:tc>
          <w:tcPr>
            <w:tcW w:type="dxa" w:w="900"/>
            <w:tcBorders>
              <w:top w:val="none" w:color="FFFFFF" w:sz="0"/>
              <w:left w:val="none" w:color="FFFFFF" w:sz="0"/>
              <w:bottom w:val="none" w:color="FFFFFF" w:sz="0"/>
              <w:right w:val="none" w:color="FFFFFF" w:sz="0"/>
            </w:tcBorders>
          </w:tcPr>
          <w:p/>
        </w:tc>
        <w:tc>
          <w:tcPr>
            <w:tcW w:type="dxa" w:w="4700"/>
            <w:tcBorders>
              <w:top w:val="single" w:color="C79B00" w:sz="3"/>
              <w:left w:val="single" w:color="C79B00" w:sz="3"/>
              <w:bottom w:val="single" w:color="C79B00" w:sz="3"/>
              <w:right w:val="single" w:color="C79B00" w:sz="3"/>
            </w:tcBorders>
            <w:shd w:fill="FFF2CC" w:val="clear"/>
            <w:tcMar>
              <w:top w:type="dxa" w:w="120"/>
              <w:left w:type="dxa" w:w="200"/>
              <w:bottom w:type="dxa" w:w="120"/>
              <w:right w:type="dxa" w:w="200"/>
            </w:tcMar>
          </w:tcPr>
          <w:p>
            <w:pPr>
              <w:jc w:val="center"/>
            </w:pPr>
            <w:r>
              <w:rPr>
                <w:rFonts w:ascii="Arial" w:cs="Arial" w:eastAsia="Arial" w:hAnsi="Arial"/>
                <w:b/>
                <w:bCs/>
                <w:color w:val="000000"/>
                <w:sz w:val="20"/>
                <w:szCs w:val="20"/>
              </w:rPr>
              <w:t xml:space="preserve">Data normal? (p &gt; 0.05)</w:t>
            </w:r>
          </w:p>
        </w:tc>
        <w:tc>
          <w:tcPr>
            <w:tcW w:type="dxa" w:w="900"/>
            <w:tcBorders>
              <w:top w:val="none" w:color="FFFFFF" w:sz="0"/>
              <w:left w:val="none" w:color="FFFFFF" w:sz="0"/>
              <w:bottom w:val="none" w:color="FFFFFF" w:sz="0"/>
              <w:right w:val="none" w:color="FFFFFF" w:sz="0"/>
            </w:tcBorders>
          </w:tcPr>
          <w:p/>
        </w:tc>
      </w:tr>
    </w:tbl>
    <w:p>
      <w:pPr>
        <w:spacing w:after="40" w:before="40"/>
        <w:jc w:val="center"/>
      </w:pPr>
      <w:r>
        <w:rPr>
          <w:rFonts w:ascii="Arial" w:cs="Arial" w:eastAsia="Arial" w:hAnsi="Arial"/>
          <w:b/>
          <w:bCs/>
          <w:color w:val="2E4057"/>
          <w:sz w:val="22"/>
          <w:szCs w:val="22"/>
        </w:rPr>
        <w:t xml:space="preserve">↓</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500"/>
        <w:gridCol w:w="3000"/>
        <w:gridCol w:w="500"/>
      </w:tblGrid>
      <w:tr>
        <w:tc>
          <w:tcPr>
            <w:tcW w:type="dxa" w:w="500"/>
            <w:tcBorders>
              <w:top w:val="none" w:color="FFFFFF" w:sz="0"/>
              <w:left w:val="none" w:color="FFFFFF" w:sz="0"/>
              <w:bottom w:val="none" w:color="FFFFFF" w:sz="0"/>
              <w:right w:val="none" w:color="FFFFFF" w:sz="0"/>
            </w:tcBorders>
          </w:tcPr>
          <w:p/>
        </w:tc>
        <w:tc>
          <w:tcPr>
            <w:tcW w:type="dxa" w:w="3000"/>
            <w:tcBorders>
              <w:top w:val="single" w:color="AAAAAA" w:sz="1"/>
              <w:left w:val="single" w:color="AAAAAA" w:sz="1"/>
              <w:bottom w:val="single" w:color="AAAAAA" w:sz="1"/>
              <w:right w:val="single" w:color="AAAAAA" w:sz="1"/>
            </w:tcBorders>
            <w:shd w:fill="E8F5E9" w:val="clear"/>
            <w:tcMar>
              <w:top w:type="dxa" w:w="100"/>
              <w:left w:type="dxa" w:w="160"/>
              <w:bottom w:type="dxa" w:w="100"/>
              <w:right w:type="dxa" w:w="160"/>
            </w:tcMar>
          </w:tcPr>
          <w:p>
            <w:pPr>
              <w:jc w:val="center"/>
            </w:pPr>
            <w:r>
              <w:rPr>
                <w:rFonts w:ascii="Arial" w:cs="Arial" w:eastAsia="Arial" w:hAnsi="Arial"/>
                <w:b/>
                <w:bCs/>
                <w:color w:val="2E4057"/>
                <w:sz w:val="18"/>
                <w:szCs w:val="18"/>
              </w:rPr>
              <w:t xml:space="preserve">YES →</w:t>
            </w:r>
          </w:p>
          <w:p>
            <w:pPr>
              <w:jc w:val="center"/>
            </w:pPr>
            <w:r>
              <w:rPr>
                <w:rFonts w:ascii="Arial" w:cs="Arial" w:eastAsia="Arial" w:hAnsi="Arial"/>
                <w:sz w:val="18"/>
                <w:szCs w:val="18"/>
              </w:rPr>
              <w:t xml:space="preserve">95% t-CI
mean ± t*(df,0.025)×std/√n</w:t>
            </w:r>
          </w:p>
        </w:tc>
        <w:tc>
          <w:tcPr>
            <w:tcW w:type="dxa" w:w="500"/>
            <w:tcBorders>
              <w:top w:val="none" w:color="FFFFFF" w:sz="0"/>
              <w:left w:val="none" w:color="FFFFFF" w:sz="0"/>
              <w:bottom w:val="none" w:color="FFFFFF" w:sz="0"/>
              <w:right w:val="none" w:color="FFFFFF" w:sz="0"/>
            </w:tcBorders>
          </w:tcPr>
          <w:p>
            <w:pPr>
              <w:jc w:val="center"/>
            </w:pPr>
            <w:r>
              <w:rPr>
                <w:rFonts w:ascii="Arial" w:cs="Arial" w:eastAsia="Arial" w:hAnsi="Arial"/>
                <w:b/>
                <w:bCs/>
                <w:color w:val="999999"/>
                <w:sz w:val="22"/>
                <w:szCs w:val="22"/>
              </w:rPr>
              <w:t xml:space="preserve">↔</w:t>
            </w:r>
          </w:p>
        </w:tc>
        <w:tc>
          <w:tcPr>
            <w:tcW w:type="dxa" w:w="3000"/>
            <w:tcBorders>
              <w:top w:val="single" w:color="AAAAAA" w:sz="1"/>
              <w:left w:val="single" w:color="AAAAAA" w:sz="1"/>
              <w:bottom w:val="single" w:color="AAAAAA" w:sz="1"/>
              <w:right w:val="single" w:color="AAAAAA" w:sz="1"/>
            </w:tcBorders>
            <w:shd w:fill="FFE5E5" w:val="clear"/>
            <w:tcMar>
              <w:top w:type="dxa" w:w="100"/>
              <w:left w:type="dxa" w:w="160"/>
              <w:bottom w:type="dxa" w:w="100"/>
              <w:right w:type="dxa" w:w="160"/>
            </w:tcMar>
          </w:tcPr>
          <w:p>
            <w:pPr>
              <w:jc w:val="center"/>
            </w:pPr>
            <w:r>
              <w:rPr>
                <w:rFonts w:ascii="Arial" w:cs="Arial" w:eastAsia="Arial" w:hAnsi="Arial"/>
                <w:b/>
                <w:bCs/>
                <w:color w:val="2E4057"/>
                <w:sz w:val="18"/>
                <w:szCs w:val="18"/>
              </w:rPr>
              <w:t xml:space="preserve">NO ↓</w:t>
            </w:r>
          </w:p>
          <w:p>
            <w:pPr>
              <w:jc w:val="center"/>
            </w:pPr>
            <w:r>
              <w:rPr>
                <w:rFonts w:ascii="Arial" w:cs="Arial" w:eastAsia="Arial" w:hAnsi="Arial"/>
                <w:sz w:val="18"/>
                <w:szCs w:val="18"/>
              </w:rPr>
              <w:t xml:space="preserve">Bootstrap CI (n_boot=5000)
[P_{2.5}, P_{97.5}] of boot means</w:t>
            </w:r>
          </w:p>
        </w:tc>
        <w:tc>
          <w:tcPr>
            <w:tcW w:type="dxa" w:w="500"/>
            <w:tcBorders>
              <w:top w:val="none" w:color="FFFFFF" w:sz="0"/>
              <w:left w:val="none" w:color="FFFFFF" w:sz="0"/>
              <w:bottom w:val="none" w:color="FFFFFF" w:sz="0"/>
              <w:right w:val="none" w:color="FFFFFF" w:sz="0"/>
            </w:tcBorders>
          </w:tcPr>
          <w:p/>
        </w:tc>
      </w:tr>
    </w:tbl>
    <w:p>
      <w:pPr>
        <w:spacing w:after="40" w:before="40"/>
        <w:jc w:val="center"/>
      </w:pPr>
      <w:r>
        <w:rPr>
          <w:rFonts w:ascii="Arial" w:cs="Arial" w:eastAsia="Arial" w:hAnsi="Arial"/>
          <w:b/>
          <w:bCs/>
          <w:color w:val="2E4057"/>
          <w:sz w:val="22"/>
          <w:szCs w:val="22"/>
        </w:rPr>
        <w:t xml:space="preserve">↓</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900"/>
      </w:tblGrid>
      <w:tr>
        <w:tc>
          <w:tcPr>
            <w:tcW w:type="dxa" w:w="900"/>
            <w:tcBorders>
              <w:top w:val="none" w:color="FFFFFF" w:sz="0"/>
              <w:left w:val="none" w:color="FFFFFF" w:sz="0"/>
              <w:bottom w:val="none" w:color="FFFFFF" w:sz="0"/>
              <w:right w:val="none" w:color="FFFFFF" w:sz="0"/>
            </w:tcBorders>
          </w:tcPr>
          <w:p/>
        </w:tc>
        <w:tc>
          <w:tcPr>
            <w:tcW w:type="dxa" w:w="4700"/>
            <w:tcBorders>
              <w:top w:val="single" w:color="4A90D9" w:sz="3"/>
              <w:left w:val="single" w:color="4A90D9" w:sz="3"/>
              <w:bottom w:val="single" w:color="4A90D9" w:sz="3"/>
              <w:right w:val="single" w:color="4A90D9" w:sz="3"/>
            </w:tcBorders>
            <w:shd w:fill="E8F5E9" w:val="clear"/>
            <w:tcMar>
              <w:top w:type="dxa" w:w="120"/>
              <w:left w:type="dxa" w:w="200"/>
              <w:bottom w:type="dxa" w:w="120"/>
              <w:right w:type="dxa" w:w="200"/>
            </w:tcMar>
          </w:tcPr>
          <w:p>
            <w:pPr>
              <w:jc w:val="center"/>
            </w:pPr>
            <w:r>
              <w:rPr>
                <w:rFonts w:ascii="Arial" w:cs="Arial" w:eastAsia="Arial" w:hAnsi="Arial"/>
                <w:b w:val="false"/>
                <w:bCs w:val="false"/>
                <w:color w:val="000000"/>
                <w:sz w:val="20"/>
                <w:szCs w:val="20"/>
              </w:rPr>
              <w:t xml:space="preserve">Compute: mean, std, CV%, IQR, MAD, skewness, kurtosis
Cohen's d between TSWAP and ECBS</w:t>
            </w:r>
          </w:p>
        </w:tc>
        <w:tc>
          <w:tcPr>
            <w:tcW w:type="dxa" w:w="900"/>
            <w:tcBorders>
              <w:top w:val="none" w:color="FFFFFF" w:sz="0"/>
              <w:left w:val="none" w:color="FFFFFF" w:sz="0"/>
              <w:bottom w:val="none" w:color="FFFFFF" w:sz="0"/>
              <w:right w:val="none" w:color="FFFFFF" w:sz="0"/>
            </w:tcBorders>
          </w:tcPr>
          <w:p/>
        </w:tc>
      </w:tr>
    </w:tbl>
    <w:p>
      <w:pPr>
        <w:spacing w:after="40" w:before="40"/>
        <w:jc w:val="center"/>
      </w:pPr>
      <w:r>
        <w:rPr>
          <w:rFonts w:ascii="Arial" w:cs="Arial" w:eastAsia="Arial" w:hAnsi="Arial"/>
          <w:b/>
          <w:bCs/>
          <w:color w:val="2E4057"/>
          <w:sz w:val="22"/>
          <w:szCs w:val="22"/>
        </w:rPr>
        <w:t xml:space="preserve">↓</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900"/>
      </w:tblGrid>
      <w:tr>
        <w:tc>
          <w:tcPr>
            <w:tcW w:type="dxa" w:w="900"/>
            <w:tcBorders>
              <w:top w:val="none" w:color="FFFFFF" w:sz="0"/>
              <w:left w:val="none" w:color="FFFFFF" w:sz="0"/>
              <w:bottom w:val="none" w:color="FFFFFF" w:sz="0"/>
              <w:right w:val="none" w:color="FFFFFF" w:sz="0"/>
            </w:tcBorders>
          </w:tcPr>
          <w:p/>
        </w:tc>
        <w:tc>
          <w:tcPr>
            <w:tcW w:type="dxa" w:w="4700"/>
            <w:tcBorders>
              <w:top w:val="single" w:color="1F3864" w:sz="3"/>
              <w:left w:val="single" w:color="1F3864" w:sz="3"/>
              <w:bottom w:val="single" w:color="1F3864" w:sz="3"/>
              <w:right w:val="single" w:color="1F3864" w:sz="3"/>
            </w:tcBorders>
            <w:shd w:fill="1F3864" w:val="clear"/>
            <w:tcMar>
              <w:top w:type="dxa" w:w="120"/>
              <w:left w:type="dxa" w:w="200"/>
              <w:bottom w:type="dxa" w:w="120"/>
              <w:right w:type="dxa" w:w="200"/>
            </w:tcMar>
          </w:tcPr>
          <w:p>
            <w:pPr>
              <w:jc w:val="center"/>
            </w:pPr>
            <w:r>
              <w:rPr>
                <w:rFonts w:ascii="Arial" w:cs="Arial" w:eastAsia="Arial" w:hAnsi="Arial"/>
                <w:b/>
                <w:bCs/>
                <w:color w:val="FFFFFF"/>
                <w:sz w:val="20"/>
                <w:szCs w:val="20"/>
              </w:rPr>
              <w:t xml:space="preserve">END Monte Carlo</w:t>
            </w:r>
          </w:p>
        </w:tc>
        <w:tc>
          <w:tcPr>
            <w:tcW w:type="dxa" w:w="900"/>
            <w:tcBorders>
              <w:top w:val="none" w:color="FFFFFF" w:sz="0"/>
              <w:left w:val="none" w:color="FFFFFF" w:sz="0"/>
              <w:bottom w:val="none" w:color="FFFFFF" w:sz="0"/>
              <w:right w:val="none" w:color="FFFFFF" w:sz="0"/>
            </w:tcBorders>
          </w:tcPr>
          <w:p/>
        </w:tc>
      </w:tr>
    </w:tbl>
    <w:p>
      <w:pPr>
        <w:spacing w:after="60" w:before="60"/>
      </w:pPr>
      <w:r>
        <w:t xml:space="preserve"/>
      </w:r>
    </w:p>
    <w:p>
      <w:r>
        <w:br w:type="page"/>
      </w:r>
    </w:p>
    <w:p>
      <w:pPr>
        <w:pStyle w:val="Heading2"/>
        <w:spacing w:after="140" w:before="300"/>
      </w:pPr>
      <w:r>
        <w:rPr>
          <w:rFonts w:ascii="Arial" w:cs="Arial" w:eastAsia="Arial" w:hAnsi="Arial"/>
          <w:b/>
          <w:bCs/>
          <w:sz w:val="28"/>
          <w:szCs w:val="28"/>
        </w:rPr>
        <w:t xml:space="preserve">5.10 Validation Summary and Effect Size Chart</w:t>
      </w:r>
    </w:p>
    <w:p>
      <w:pPr>
        <w:spacing w:after="180" w:before="100"/>
        <w:jc w:val="center"/>
      </w:pPr>
      <w:r>
        <w:rPr>
          <w:rFonts w:ascii="Arial" w:cs="Arial" w:eastAsia="Arial" w:hAnsi="Arial"/>
          <w:b/>
          <w:bCs/>
          <w:i/>
          <w:iCs/>
          <w:sz w:val="20"/>
          <w:szCs w:val="20"/>
        </w:rPr>
        <w:t xml:space="preserve">Table 1. Pre-Run Validation Summary — Pilot Statistics, Cohen's d, Power Analysis, and Validated Sample Sizes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900"/>
        <w:gridCol w:w="900"/>
        <w:gridCol w:w="1000"/>
        <w:gridCol w:w="900"/>
        <w:gridCol w:w="900"/>
        <w:gridCol w:w="800"/>
      </w:tblGrid>
      <w:tr>
        <w:trPr>
          <w:tblHeader/>
        </w:trPr>
        <w:tc>
          <w:tcPr>
            <w:tcW w:type="dxa" w:w="15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Test</w:t>
            </w:r>
          </w:p>
        </w:tc>
        <w:tc>
          <w:tcPr>
            <w:tcW w:type="dxa" w:w="15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Config</w:t>
            </w:r>
          </w:p>
        </w:tc>
        <w:tc>
          <w:tcPr>
            <w:tcW w:type="dxa" w:w="9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Pilot μ
(SIC)</w:t>
            </w:r>
          </w:p>
        </w:tc>
        <w:tc>
          <w:tcPr>
            <w:tcW w:type="dxa" w:w="9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Pilot σ
(SIC)</w:t>
            </w:r>
          </w:p>
        </w:tc>
        <w:tc>
          <w:tcPr>
            <w:tcW w:type="dxa" w:w="1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Cohen's d</w:t>
            </w:r>
          </w:p>
        </w:tc>
        <w:tc>
          <w:tcPr>
            <w:tcW w:type="dxa" w:w="9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Interpretation</w:t>
            </w:r>
          </w:p>
        </w:tc>
        <w:tc>
          <w:tcPr>
            <w:tcW w:type="dxa" w:w="9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n_power</w:t>
            </w:r>
          </w:p>
        </w:tc>
        <w:tc>
          <w:tcPr>
            <w:tcW w:type="dxa" w:w="8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n_validated</w:t>
            </w:r>
          </w:p>
        </w:tc>
      </w:tr>
      <w:tr>
        <w:tc>
          <w:tcPr>
            <w:tcW w:type="dxa" w:w="15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Scalability 1.1</w:t>
            </w:r>
          </w:p>
        </w:tc>
        <w:tc>
          <w:tcPr>
            <w:tcW w:type="dxa" w:w="15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20×20/20a</w:t>
            </w:r>
          </w:p>
        </w:tc>
        <w:tc>
          <w:tcPr>
            <w:tcW w:type="dxa" w:w="9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111.8</w:t>
            </w:r>
          </w:p>
        </w:tc>
        <w:tc>
          <w:tcPr>
            <w:tcW w:type="dxa" w:w="9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20.4</w:t>
            </w:r>
          </w:p>
        </w:tc>
        <w:tc>
          <w:tcPr>
            <w:tcW w:type="dxa" w:w="10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0.441</w:t>
            </w:r>
          </w:p>
        </w:tc>
        <w:tc>
          <w:tcPr>
            <w:tcW w:type="dxa" w:w="9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Small</w:t>
            </w:r>
          </w:p>
        </w:tc>
        <w:tc>
          <w:tcPr>
            <w:tcW w:type="dxa" w:w="9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81</w:t>
            </w:r>
          </w:p>
        </w:tc>
        <w:tc>
          <w:tcPr>
            <w:tcW w:type="dxa" w:w="8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19</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Scalability 1.2</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40×40/60a</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421.3</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79.4</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0.269</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Small</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218</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50</w:t>
            </w:r>
          </w:p>
        </w:tc>
      </w:tr>
      <w:tr>
        <w:tc>
          <w:tcPr>
            <w:tcW w:type="dxa" w:w="15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Scalability 1.3</w:t>
            </w:r>
          </w:p>
        </w:tc>
        <w:tc>
          <w:tcPr>
            <w:tcW w:type="dxa" w:w="15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60×60/100a</w:t>
            </w:r>
          </w:p>
        </w:tc>
        <w:tc>
          <w:tcPr>
            <w:tcW w:type="dxa" w:w="9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772.7</w:t>
            </w:r>
          </w:p>
        </w:tc>
        <w:tc>
          <w:tcPr>
            <w:tcW w:type="dxa" w:w="9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160.9</w:t>
            </w:r>
          </w:p>
        </w:tc>
        <w:tc>
          <w:tcPr>
            <w:tcW w:type="dxa" w:w="10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0.436</w:t>
            </w:r>
          </w:p>
        </w:tc>
        <w:tc>
          <w:tcPr>
            <w:tcW w:type="dxa" w:w="9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Small</w:t>
            </w:r>
          </w:p>
        </w:tc>
        <w:tc>
          <w:tcPr>
            <w:tcW w:type="dxa" w:w="9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83</w:t>
            </w:r>
          </w:p>
        </w:tc>
        <w:tc>
          <w:tcPr>
            <w:tcW w:type="dxa" w:w="8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50</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Density 2.1</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40×40/20a</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203.6</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57.0</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0.195</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Small</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414</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50</w:t>
            </w:r>
          </w:p>
        </w:tc>
      </w:tr>
      <w:tr>
        <w:tc>
          <w:tcPr>
            <w:tcW w:type="dxa" w:w="15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Density 2.2</w:t>
            </w:r>
          </w:p>
        </w:tc>
        <w:tc>
          <w:tcPr>
            <w:tcW w:type="dxa" w:w="15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40×40/60a</w:t>
            </w:r>
          </w:p>
        </w:tc>
        <w:tc>
          <w:tcPr>
            <w:tcW w:type="dxa" w:w="9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433.5</w:t>
            </w:r>
          </w:p>
        </w:tc>
        <w:tc>
          <w:tcPr>
            <w:tcW w:type="dxa" w:w="9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56.8</w:t>
            </w:r>
          </w:p>
        </w:tc>
        <w:tc>
          <w:tcPr>
            <w:tcW w:type="dxa" w:w="10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0.658</w:t>
            </w:r>
          </w:p>
        </w:tc>
        <w:tc>
          <w:tcPr>
            <w:tcW w:type="dxa" w:w="9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Medium</w:t>
            </w:r>
          </w:p>
        </w:tc>
        <w:tc>
          <w:tcPr>
            <w:tcW w:type="dxa" w:w="9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37</w:t>
            </w:r>
          </w:p>
        </w:tc>
        <w:tc>
          <w:tcPr>
            <w:tcW w:type="dxa" w:w="8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50</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Density 2.3</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40×40/80a</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455.9</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62.1</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0.905</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Large</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20</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50</w:t>
            </w:r>
          </w:p>
        </w:tc>
      </w:tr>
    </w:tbl>
    <w:p>
      <w:pPr>
        <w:spacing w:after="60" w:before="60"/>
      </w:pPr>
      <w:r>
        <w:t xml:space="preserve"/>
      </w:r>
    </w:p>
    <w:p>
      <w:pPr>
        <w:spacing w:after="120" w:before="60"/>
        <w:jc w:val="both"/>
      </w:pPr>
      <w:r>
        <w:rPr>
          <w:rFonts w:ascii="Arial" w:cs="Arial" w:eastAsia="Arial" w:hAnsi="Arial"/>
          <w:i/>
          <w:iCs/>
          <w:color w:val="555555"/>
          <w:sz w:val="19"/>
          <w:szCs w:val="19"/>
        </w:rPr>
        <w:t xml:space="preserve">Note. Pilot study n=15 for all configurations. Cohen's d computed from pilot TSWAP vs ECBS SIC distributions. Validated n = min(max(⌈1.2×n_E10⌉, n_power), 50).</w:t>
      </w:r>
    </w:p>
    <w:p>
      <w:pPr>
        <w:spacing w:after="60" w:before="60"/>
      </w:pPr>
      <w:r>
        <w:t xml:space="preserve"/>
      </w:r>
    </w:p>
    <w:p>
      <w:pPr>
        <w:spacing w:after="180" w:before="100"/>
        <w:jc w:val="center"/>
      </w:pPr>
      <w:r>
        <w:rPr>
          <w:rFonts w:ascii="Arial" w:cs="Arial" w:eastAsia="Arial" w:hAnsi="Arial"/>
          <w:b/>
          <w:bCs/>
          <w:i/>
          <w:iCs/>
          <w:sz w:val="20"/>
          <w:szCs w:val="20"/>
        </w:rPr>
        <w:t xml:space="preserve">Figure 5. Cohen's d Effect Size Across Configurations. ## = ~0.2 d units per block. Blue = small (Scalability); Green = small-medium (Density 20a-60a); Orange = large (Density 80a). Thresholds at d=0.20, 0.50, 0.80.</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900"/>
        <w:gridCol w:w="900"/>
        <w:gridCol w:w="900"/>
        <w:gridCol w:w="1000"/>
        <w:gridCol w:w="900"/>
        <w:gridCol w:w="900"/>
        <w:gridCol w:w="900"/>
      </w:tblGrid>
      <w:tr>
        <w:trPr>
          <w:tblHeader/>
        </w:trPr>
        <w:tc>
          <w:tcPr>
            <w:tcW w:type="dxa" w:w="15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Configuration</w:t>
            </w:r>
          </w:p>
        </w:tc>
        <w:tc>
          <w:tcPr>
            <w:tcW w:type="dxa" w:w="8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d</w:t>
            </w:r>
          </w:p>
        </w:tc>
        <w:tc>
          <w:tcPr>
            <w:tcW w:type="dxa" w:w="9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0.0</w:t>
            </w:r>
          </w:p>
        </w:tc>
        <w:tc>
          <w:tcPr>
            <w:tcW w:type="dxa" w:w="9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0.2</w:t>
            </w:r>
          </w:p>
        </w:tc>
        <w:tc>
          <w:tcPr>
            <w:tcW w:type="dxa" w:w="9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0.4</w:t>
            </w:r>
          </w:p>
        </w:tc>
        <w:tc>
          <w:tcPr>
            <w:tcW w:type="dxa" w:w="1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0.6</w:t>
            </w:r>
          </w:p>
        </w:tc>
        <w:tc>
          <w:tcPr>
            <w:tcW w:type="dxa" w:w="9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0.8</w:t>
            </w:r>
          </w:p>
        </w:tc>
        <w:tc>
          <w:tcPr>
            <w:tcW w:type="dxa" w:w="9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1.0</w:t>
            </w:r>
          </w:p>
        </w:tc>
        <w:tc>
          <w:tcPr>
            <w:tcW w:type="dxa" w:w="9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Category</w:t>
            </w:r>
          </w:p>
        </w:tc>
      </w:tr>
      <w:tr>
        <w:tc>
          <w:tcPr>
            <w:tcW w:type="dxa" w:w="15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Scalability: 20a</w:t>
            </w:r>
          </w:p>
        </w:tc>
        <w:tc>
          <w:tcPr>
            <w:tcW w:type="dxa" w:w="8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0.441</w:t>
            </w:r>
          </w:p>
        </w:tc>
        <w:tc>
          <w:tcPr>
            <w:tcW w:type="dxa" w:w="9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10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9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9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9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Small</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Scalability: 60a</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0.269</w:t>
            </w:r>
          </w:p>
        </w:tc>
        <w:tc>
          <w:tcPr>
            <w:tcW w:type="dxa" w:w="9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9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Small</w:t>
            </w:r>
          </w:p>
        </w:tc>
      </w:tr>
      <w:tr>
        <w:tc>
          <w:tcPr>
            <w:tcW w:type="dxa" w:w="15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Scalability: 100a</w:t>
            </w:r>
          </w:p>
        </w:tc>
        <w:tc>
          <w:tcPr>
            <w:tcW w:type="dxa" w:w="8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0.436</w:t>
            </w:r>
          </w:p>
        </w:tc>
        <w:tc>
          <w:tcPr>
            <w:tcW w:type="dxa" w:w="9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10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9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9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9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Small</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Density: 20a</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0.195</w:t>
            </w:r>
          </w:p>
        </w:tc>
        <w:tc>
          <w:tcPr>
            <w:tcW w:type="dxa" w:w="9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9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Small</w:t>
            </w:r>
          </w:p>
        </w:tc>
      </w:tr>
      <w:tr>
        <w:tc>
          <w:tcPr>
            <w:tcW w:type="dxa" w:w="15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Density: 60a</w:t>
            </w:r>
          </w:p>
        </w:tc>
        <w:tc>
          <w:tcPr>
            <w:tcW w:type="dxa" w:w="8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0.658</w:t>
            </w:r>
          </w:p>
        </w:tc>
        <w:tc>
          <w:tcPr>
            <w:tcW w:type="dxa" w:w="900"/>
            <w:tcBorders>
              <w:top w:val="single" w:color="AAAAAA" w:sz="1"/>
              <w:left w:val="single" w:color="AAAAAA" w:sz="1"/>
              <w:bottom w:val="single" w:color="AAAAAA" w:sz="1"/>
              <w:right w:val="single" w:color="AAAAAA" w:sz="1"/>
            </w:tcBorders>
            <w:shd w:fill="FFE0B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AAAAAA" w:sz="1"/>
              <w:left w:val="single" w:color="AAAAAA" w:sz="1"/>
              <w:bottom w:val="single" w:color="AAAAAA" w:sz="1"/>
              <w:right w:val="single" w:color="AAAAAA" w:sz="1"/>
            </w:tcBorders>
            <w:shd w:fill="FFE0B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AAAAAA" w:sz="1"/>
              <w:left w:val="single" w:color="AAAAAA" w:sz="1"/>
              <w:bottom w:val="single" w:color="AAAAAA" w:sz="1"/>
              <w:right w:val="single" w:color="AAAAAA" w:sz="1"/>
            </w:tcBorders>
            <w:shd w:fill="FFE0B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1000"/>
            <w:tcBorders>
              <w:top w:val="single" w:color="AAAAAA" w:sz="1"/>
              <w:left w:val="single" w:color="AAAAAA" w:sz="1"/>
              <w:bottom w:val="single" w:color="AAAAAA" w:sz="1"/>
              <w:right w:val="single" w:color="AAAAAA" w:sz="1"/>
            </w:tcBorders>
            <w:shd w:fill="FFE0B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9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900"/>
            <w:tcBorders>
              <w:top w:val="single" w:color="AAAAAA" w:sz="1"/>
              <w:left w:val="single" w:color="AAAAAA" w:sz="1"/>
              <w:bottom w:val="single" w:color="AAAAAA" w:sz="1"/>
              <w:right w:val="single" w:color="AAAAAA" w:sz="1"/>
            </w:tcBorders>
            <w:shd w:fill="FFE0B2"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Medium</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Density: 80a</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0.905</w:t>
            </w:r>
          </w:p>
        </w:tc>
        <w:tc>
          <w:tcPr>
            <w:tcW w:type="dxa" w:w="900"/>
            <w:tcBorders>
              <w:top w:val="single" w:color="AAAAAA" w:sz="1"/>
              <w:left w:val="single" w:color="AAAAAA" w:sz="1"/>
              <w:bottom w:val="single" w:color="AAAAAA" w:sz="1"/>
              <w:right w:val="single" w:color="AAAAAA" w:sz="1"/>
            </w:tcBorders>
            <w:shd w:fill="FFCCB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AAAAAA" w:sz="1"/>
              <w:left w:val="single" w:color="AAAAAA" w:sz="1"/>
              <w:bottom w:val="single" w:color="AAAAAA" w:sz="1"/>
              <w:right w:val="single" w:color="AAAAAA" w:sz="1"/>
            </w:tcBorders>
            <w:shd w:fill="FFCCB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AAAAAA" w:sz="1"/>
              <w:left w:val="single" w:color="AAAAAA" w:sz="1"/>
              <w:bottom w:val="single" w:color="AAAAAA" w:sz="1"/>
              <w:right w:val="single" w:color="AAAAAA" w:sz="1"/>
            </w:tcBorders>
            <w:shd w:fill="FFCCB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1000"/>
            <w:tcBorders>
              <w:top w:val="single" w:color="AAAAAA" w:sz="1"/>
              <w:left w:val="single" w:color="AAAAAA" w:sz="1"/>
              <w:bottom w:val="single" w:color="AAAAAA" w:sz="1"/>
              <w:right w:val="single" w:color="AAAAAA" w:sz="1"/>
            </w:tcBorders>
            <w:shd w:fill="FFCCB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AAAAAA" w:sz="1"/>
              <w:left w:val="single" w:color="AAAAAA" w:sz="1"/>
              <w:bottom w:val="single" w:color="AAAAAA" w:sz="1"/>
              <w:right w:val="single" w:color="AAAAAA" w:sz="1"/>
            </w:tcBorders>
            <w:shd w:fill="FFCCB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
            </w:r>
          </w:p>
        </w:tc>
        <w:tc>
          <w:tcPr>
            <w:tcW w:type="dxa" w:w="900"/>
            <w:tcBorders>
              <w:top w:val="single" w:color="AAAAAA" w:sz="1"/>
              <w:left w:val="single" w:color="AAAAAA" w:sz="1"/>
              <w:bottom w:val="single" w:color="AAAAAA" w:sz="1"/>
              <w:right w:val="single" w:color="AAAAAA" w:sz="1"/>
            </w:tcBorders>
            <w:shd w:fill="FFCCB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Large</w:t>
            </w:r>
          </w:p>
        </w:tc>
      </w:tr>
    </w:tbl>
    <w:p>
      <w:pPr>
        <w:spacing w:after="60" w:before="60"/>
      </w:pPr>
      <w:r>
        <w:t xml:space="preserve"/>
      </w:r>
    </w:p>
    <w:p>
      <w:pPr>
        <w:spacing w:after="120" w:before="60"/>
        <w:jc w:val="both"/>
      </w:pPr>
      <w:r>
        <w:rPr>
          <w:rFonts w:ascii="Arial" w:cs="Arial" w:eastAsia="Arial" w:hAnsi="Arial"/>
          <w:i/>
          <w:iCs/>
          <w:color w:val="555555"/>
          <w:sz w:val="19"/>
          <w:szCs w:val="19"/>
        </w:rPr>
        <w:t xml:space="preserve">Note. The progression from d=0.195 (20 agents, barely detectable) to d=0.905 (80 agents, large) identifies the critical density zone (~3.5–5% of free cells) where the quality gap between TSWAP and ECBS crosses from operationally negligible to operationally significant.</w:t>
      </w:r>
    </w:p>
    <w:p>
      <w:pPr>
        <w:spacing w:after="60" w:before="60"/>
      </w:pPr>
      <w:r>
        <w:t xml:space="preserve"/>
      </w:r>
    </w:p>
    <w:p>
      <w:pPr>
        <w:pStyle w:val="Heading2"/>
        <w:spacing w:after="140" w:before="300"/>
      </w:pPr>
      <w:r>
        <w:rPr>
          <w:rFonts w:ascii="Arial" w:cs="Arial" w:eastAsia="Arial" w:hAnsi="Arial"/>
          <w:b/>
          <w:bCs/>
          <w:sz w:val="28"/>
          <w:szCs w:val="28"/>
        </w:rPr>
        <w:t xml:space="preserve">5.11 Evaluation Metrics</w:t>
      </w:r>
    </w:p>
    <w:p>
      <w:pPr>
        <w:pStyle w:val="ListParagraph"/>
        <w:numPr>
          <w:ilvl w:val="0"/>
          <w:numId w:val="2"/>
        </w:numPr>
        <w:spacing w:after="40" w:before="40"/>
      </w:pPr>
      <w:r>
        <w:rPr>
          <w:rFonts w:ascii="Arial" w:cs="Arial" w:eastAsia="Arial" w:hAnsi="Arial"/>
          <w:sz w:val="22"/>
          <w:szCs w:val="22"/>
        </w:rPr>
        <w:t xml:space="preserve">Succ: k/n (%). Success if valid collision-free solution returned within timeout. Wilson CI applies.</w:t>
      </w:r>
    </w:p>
    <w:p>
      <w:pPr>
        <w:pStyle w:val="ListParagraph"/>
        <w:numPr>
          <w:ilvl w:val="0"/>
          <w:numId w:val="2"/>
        </w:numPr>
        <w:spacing w:after="40" w:before="40"/>
      </w:pPr>
      <w:r>
        <w:rPr>
          <w:rFonts w:ascii="Arial" w:cs="Arial" w:eastAsia="Arial" w:hAnsi="Arial"/>
          <w:sz w:val="22"/>
          <w:szCs w:val="22"/>
        </w:rPr>
        <w:t xml:space="preserve">Avg SIC ± Std: mean ± std of SIC over successful runs. 95% CI method: t-CI or bootstrap.</w:t>
      </w:r>
    </w:p>
    <w:p>
      <w:pPr>
        <w:pStyle w:val="ListParagraph"/>
        <w:numPr>
          <w:ilvl w:val="0"/>
          <w:numId w:val="2"/>
        </w:numPr>
        <w:spacing w:after="40" w:before="40"/>
      </w:pPr>
      <w:r>
        <w:rPr>
          <w:rFonts w:ascii="Arial" w:cs="Arial" w:eastAsia="Arial" w:hAnsi="Arial"/>
          <w:sz w:val="22"/>
          <w:szCs w:val="22"/>
        </w:rPr>
        <w:t xml:space="preserve">Avg MS ± Std: mean ± std of makespan (max Tᵢ) over successful runs.</w:t>
      </w:r>
    </w:p>
    <w:p>
      <w:pPr>
        <w:pStyle w:val="ListParagraph"/>
        <w:numPr>
          <w:ilvl w:val="0"/>
          <w:numId w:val="2"/>
        </w:numPr>
        <w:spacing w:after="40" w:before="40"/>
      </w:pPr>
      <w:r>
        <w:rPr>
          <w:rFonts w:ascii="Arial" w:cs="Arial" w:eastAsia="Arial" w:hAnsi="Arial"/>
          <w:sz w:val="22"/>
          <w:szCs w:val="22"/>
        </w:rPr>
        <w:t xml:space="preserve">CV%: 100×std/mean. &lt;15% consistent; 15–20% moderate; &gt;20% high variability.</w:t>
      </w:r>
    </w:p>
    <w:p>
      <w:pPr>
        <w:pStyle w:val="ListParagraph"/>
        <w:numPr>
          <w:ilvl w:val="0"/>
          <w:numId w:val="2"/>
        </w:numPr>
        <w:spacing w:after="40" w:before="40"/>
      </w:pPr>
      <w:r>
        <w:rPr>
          <w:rFonts w:ascii="Arial" w:cs="Arial" w:eastAsia="Arial" w:hAnsi="Arial"/>
          <w:sz w:val="22"/>
          <w:szCs w:val="22"/>
        </w:rPr>
        <w:t xml:space="preserve">IQR: Q75−Q25 ≈ 1.35×std for normal distributions.</w:t>
      </w:r>
    </w:p>
    <w:p>
      <w:pPr>
        <w:pStyle w:val="ListParagraph"/>
        <w:numPr>
          <w:ilvl w:val="0"/>
          <w:numId w:val="2"/>
        </w:numPr>
        <w:spacing w:after="40" w:before="40"/>
      </w:pPr>
      <w:r>
        <w:rPr>
          <w:rFonts w:ascii="Arial" w:cs="Arial" w:eastAsia="Arial" w:hAnsi="Arial"/>
          <w:sz w:val="22"/>
          <w:szCs w:val="22"/>
        </w:rPr>
        <w:t xml:space="preserve">MAD: median(|xᵢ−median(x)|) ≈ 0.67×std for normal distributions.</w:t>
      </w:r>
    </w:p>
    <w:p>
      <w:pPr>
        <w:pStyle w:val="ListParagraph"/>
        <w:numPr>
          <w:ilvl w:val="0"/>
          <w:numId w:val="2"/>
        </w:numPr>
        <w:spacing w:after="40" w:before="40"/>
      </w:pPr>
      <w:r>
        <w:rPr>
          <w:rFonts w:ascii="Arial" w:cs="Arial" w:eastAsia="Arial" w:hAnsi="Arial"/>
          <w:sz w:val="22"/>
          <w:szCs w:val="22"/>
        </w:rPr>
        <w:t xml:space="preserve">Cohen's d: TSWAP vs ECBS SIC. Small d&lt;0.5; Medium 0.5≤d&lt;0.8; Large d≥0.8.</w:t>
      </w:r>
    </w:p>
    <w:p>
      <w:r>
        <w:br w:type="page"/>
      </w:r>
    </w:p>
    <w:p>
      <w:pPr>
        <w:pStyle w:val="Heading1"/>
        <w:pBdr>
          <w:bottom w:val="single" w:color="1F3864" w:sz="6" w:space="1"/>
        </w:pBdr>
        <w:spacing w:after="180" w:before="360"/>
      </w:pPr>
      <w:r>
        <w:rPr>
          <w:rFonts w:ascii="Arial" w:cs="Arial" w:eastAsia="Arial" w:hAnsi="Arial"/>
          <w:b/>
          <w:bCs/>
          <w:sz w:val="32"/>
          <w:szCs w:val="32"/>
        </w:rPr>
        <w:t xml:space="preserve">6. Results and Analysis</w:t>
      </w:r>
    </w:p>
    <w:p>
      <w:pPr>
        <w:pStyle w:val="Heading2"/>
        <w:spacing w:after="140" w:before="300"/>
      </w:pPr>
      <w:r>
        <w:rPr>
          <w:rFonts w:ascii="Arial" w:cs="Arial" w:eastAsia="Arial" w:hAnsi="Arial"/>
          <w:b/>
          <w:bCs/>
          <w:sz w:val="28"/>
          <w:szCs w:val="28"/>
        </w:rPr>
        <w:t xml:space="preserve">6.1 Scalability Analysis</w:t>
      </w:r>
    </w:p>
    <w:p>
      <w:pPr>
        <w:spacing w:after="100" w:before="60"/>
        <w:jc w:val="both"/>
      </w:pPr>
      <w:r>
        <w:rPr>
          <w:rFonts w:ascii="Arial" w:cs="Arial" w:eastAsia="Arial" w:hAnsi="Arial"/>
          <w:sz w:val="22"/>
          <w:szCs w:val="22"/>
        </w:rPr>
        <w:t xml:space="preserve">The scalability experiment evaluated all three algorithms across grid sizes from 20×20/20 agents to 60×60/100 agents. Validated sample sizes: n=19 (20×20/20a), n=50 (40×40/60a), n=50 (60×60/100a). CI method selected per Shapiro-Wilk test per configuration.</w:t>
      </w:r>
    </w:p>
    <w:p>
      <w:pPr>
        <w:spacing w:after="60" w:before="60"/>
      </w:pPr>
      <w:r>
        <w:t xml:space="preserve"/>
      </w:r>
    </w:p>
    <w:p>
      <w:pPr>
        <w:spacing w:after="180" w:before="100"/>
        <w:jc w:val="center"/>
      </w:pPr>
      <w:r>
        <w:rPr>
          <w:rFonts w:ascii="Arial" w:cs="Arial" w:eastAsia="Arial" w:hAnsi="Arial"/>
          <w:b/>
          <w:bCs/>
          <w:i/>
          <w:iCs/>
          <w:sz w:val="20"/>
          <w:szCs w:val="20"/>
        </w:rPr>
        <w:t xml:space="preserve">Table 2. Scalability Analysis Results — Three Grid Sizes, Three Algorithms. Bootstrap CI used for non-normal distributions. ‡ = n≤6 (unreliable).</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000"/>
        <w:gridCol w:w="800"/>
        <w:gridCol w:w="1200"/>
        <w:gridCol w:w="1800"/>
        <w:gridCol w:w="1300"/>
        <w:gridCol w:w="800"/>
        <w:gridCol w:w="700"/>
      </w:tblGrid>
      <w:tr>
        <w:trPr>
          <w:tblHeader/>
        </w:trPr>
        <w:tc>
          <w:tcPr>
            <w:tcW w:type="dxa" w:w="1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Grid</w:t>
            </w:r>
          </w:p>
        </w:tc>
        <w:tc>
          <w:tcPr>
            <w:tcW w:type="dxa" w:w="8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Algorithm</w:t>
            </w:r>
          </w:p>
        </w:tc>
        <w:tc>
          <w:tcPr>
            <w:tcW w:type="dxa" w:w="12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Succ (%)</w:t>
            </w:r>
          </w:p>
        </w:tc>
        <w:tc>
          <w:tcPr>
            <w:tcW w:type="dxa" w:w="18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Avg SIC ± Std
95% CI (method)</w:t>
            </w:r>
          </w:p>
        </w:tc>
        <w:tc>
          <w:tcPr>
            <w:tcW w:type="dxa" w:w="13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Avg MS ± Std</w:t>
            </w:r>
          </w:p>
        </w:tc>
        <w:tc>
          <w:tcPr>
            <w:tcW w:type="dxa" w:w="8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CV%</w:t>
            </w:r>
          </w:p>
        </w:tc>
        <w:tc>
          <w:tcPr>
            <w:tcW w:type="dxa" w:w="7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CI Method</w:t>
            </w:r>
          </w:p>
        </w:tc>
      </w:tr>
      <w:tr>
        <w:tc>
          <w:tcPr>
            <w:tcW w:type="dxa" w:w="10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20×20/20a</w:t>
            </w:r>
          </w:p>
        </w:tc>
        <w:tc>
          <w:tcPr>
            <w:tcW w:type="dxa" w:w="8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TSWAP</w:t>
            </w:r>
          </w:p>
        </w:tc>
        <w:tc>
          <w:tcPr>
            <w:tcW w:type="dxa" w:w="12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40/40 (100%)</w:t>
            </w:r>
          </w:p>
        </w:tc>
        <w:tc>
          <w:tcPr>
            <w:tcW w:type="dxa" w:w="18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111.3 ± 23.6
[104.4 , 118.5]</w:t>
            </w:r>
          </w:p>
        </w:tc>
        <w:tc>
          <w:tcPr>
            <w:tcW w:type="dxa" w:w="13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13.6 ± 3.8</w:t>
            </w:r>
          </w:p>
        </w:tc>
        <w:tc>
          <w:tcPr>
            <w:tcW w:type="dxa" w:w="8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21.2</w:t>
            </w:r>
          </w:p>
        </w:tc>
        <w:tc>
          <w:tcPr>
            <w:tcW w:type="dxa" w:w="7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Bootstrap</w:t>
            </w:r>
          </w:p>
        </w:tc>
      </w:tr>
      <w:tr>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20×20/20a</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CBS-TA</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25/40 (62.5%)</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100.1 ± 16.9
[93.1 , 107.1]</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12.7 ± 3.3</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16.9</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Bootstrap</w:t>
            </w:r>
          </w:p>
        </w:tc>
      </w:tr>
      <w:tr>
        <w:tc>
          <w:tcPr>
            <w:tcW w:type="dxa" w:w="10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20×20/20a</w:t>
            </w:r>
          </w:p>
        </w:tc>
        <w:tc>
          <w:tcPr>
            <w:tcW w:type="dxa" w:w="8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ECBS</w:t>
            </w:r>
          </w:p>
        </w:tc>
        <w:tc>
          <w:tcPr>
            <w:tcW w:type="dxa" w:w="12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AA0000"/>
                <w:sz w:val="18"/>
                <w:szCs w:val="18"/>
              </w:rPr>
              <w:t xml:space="preserve">32/40 (80.0%)</w:t>
            </w:r>
          </w:p>
        </w:tc>
        <w:tc>
          <w:tcPr>
            <w:tcW w:type="dxa" w:w="18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AA0000"/>
                <w:sz w:val="18"/>
                <w:szCs w:val="18"/>
              </w:rPr>
              <w:t xml:space="preserve">105.6 ± 18.8
[98.9 , 112.4]</w:t>
            </w:r>
          </w:p>
        </w:tc>
        <w:tc>
          <w:tcPr>
            <w:tcW w:type="dxa" w:w="13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AA0000"/>
                <w:sz w:val="18"/>
                <w:szCs w:val="18"/>
              </w:rPr>
              <w:t xml:space="preserve">14.5 ± 4.3</w:t>
            </w:r>
          </w:p>
        </w:tc>
        <w:tc>
          <w:tcPr>
            <w:tcW w:type="dxa" w:w="8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AA0000"/>
                <w:sz w:val="18"/>
                <w:szCs w:val="18"/>
              </w:rPr>
              <w:t xml:space="preserve">17.8</w:t>
            </w:r>
          </w:p>
        </w:tc>
        <w:tc>
          <w:tcPr>
            <w:tcW w:type="dxa" w:w="7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AA0000"/>
                <w:sz w:val="18"/>
                <w:szCs w:val="18"/>
              </w:rPr>
              <w:t xml:space="preserve">Bootstrap</w:t>
            </w:r>
          </w:p>
        </w:tc>
      </w:tr>
      <w:tr>
        <w:tc>
          <w:tcPr>
            <w:tcW w:type="dxa" w:w="10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40×40/60a</w:t>
            </w:r>
          </w:p>
        </w:tc>
        <w:tc>
          <w:tcPr>
            <w:tcW w:type="dxa" w:w="8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TSWAP</w:t>
            </w:r>
          </w:p>
        </w:tc>
        <w:tc>
          <w:tcPr>
            <w:tcW w:type="dxa" w:w="12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30/30 (100%)</w:t>
            </w:r>
          </w:p>
        </w:tc>
        <w:tc>
          <w:tcPr>
            <w:tcW w:type="dxa" w:w="18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412.5 ± 56.1
[391.6 , 433.4]</w:t>
            </w:r>
          </w:p>
        </w:tc>
        <w:tc>
          <w:tcPr>
            <w:tcW w:type="dxa" w:w="13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25.7 ± 6.2</w:t>
            </w:r>
          </w:p>
        </w:tc>
        <w:tc>
          <w:tcPr>
            <w:tcW w:type="dxa" w:w="8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13.6</w:t>
            </w:r>
          </w:p>
        </w:tc>
        <w:tc>
          <w:tcPr>
            <w:tcW w:type="dxa" w:w="7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t-dist.</w:t>
            </w:r>
          </w:p>
        </w:tc>
      </w:tr>
      <w:tr>
        <w:tc>
          <w:tcPr>
            <w:tcW w:type="dxa" w:w="10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40×40/60a</w:t>
            </w:r>
          </w:p>
        </w:tc>
        <w:tc>
          <w:tcPr>
            <w:tcW w:type="dxa" w:w="8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CBS-TA</w:t>
            </w:r>
          </w:p>
        </w:tc>
        <w:tc>
          <w:tcPr>
            <w:tcW w:type="dxa" w:w="12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AA0000"/>
                <w:sz w:val="18"/>
                <w:szCs w:val="18"/>
              </w:rPr>
              <w:t xml:space="preserve">6/30  (20.0%)</w:t>
            </w:r>
          </w:p>
        </w:tc>
        <w:tc>
          <w:tcPr>
            <w:tcW w:type="dxa" w:w="18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AA0000"/>
                <w:sz w:val="18"/>
                <w:szCs w:val="18"/>
              </w:rPr>
              <w:t xml:space="preserve">387.2 ± 55.5
[352.7 , 432.0]</w:t>
            </w:r>
          </w:p>
        </w:tc>
        <w:tc>
          <w:tcPr>
            <w:tcW w:type="dxa" w:w="13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AA0000"/>
                <w:sz w:val="18"/>
                <w:szCs w:val="18"/>
              </w:rPr>
              <w:t xml:space="preserve">24.0 ± 7.0</w:t>
            </w:r>
          </w:p>
        </w:tc>
        <w:tc>
          <w:tcPr>
            <w:tcW w:type="dxa" w:w="8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AA0000"/>
                <w:sz w:val="18"/>
                <w:szCs w:val="18"/>
              </w:rPr>
              <w:t xml:space="preserve">14.3</w:t>
            </w:r>
          </w:p>
        </w:tc>
        <w:tc>
          <w:tcPr>
            <w:tcW w:type="dxa" w:w="7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AA0000"/>
                <w:sz w:val="18"/>
                <w:szCs w:val="18"/>
              </w:rPr>
              <w:t xml:space="preserve">Bootstrap</w:t>
            </w:r>
          </w:p>
        </w:tc>
      </w:tr>
      <w:tr>
        <w:tc>
          <w:tcPr>
            <w:tcW w:type="dxa" w:w="10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40×40/60a</w:t>
            </w:r>
          </w:p>
        </w:tc>
        <w:tc>
          <w:tcPr>
            <w:tcW w:type="dxa" w:w="8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ECBS</w:t>
            </w:r>
          </w:p>
        </w:tc>
        <w:tc>
          <w:tcPr>
            <w:tcW w:type="dxa" w:w="12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AA0000"/>
                <w:sz w:val="18"/>
                <w:szCs w:val="18"/>
              </w:rPr>
              <w:t xml:space="preserve">18/30 (60.0%)</w:t>
            </w:r>
          </w:p>
        </w:tc>
        <w:tc>
          <w:tcPr>
            <w:tcW w:type="dxa" w:w="18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AA0000"/>
                <w:sz w:val="18"/>
                <w:szCs w:val="18"/>
              </w:rPr>
              <w:t xml:space="preserve">378.8 ± 49.4
[354.2 , 403.3]</w:t>
            </w:r>
          </w:p>
        </w:tc>
        <w:tc>
          <w:tcPr>
            <w:tcW w:type="dxa" w:w="13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AA0000"/>
                <w:sz w:val="18"/>
                <w:szCs w:val="18"/>
              </w:rPr>
              <w:t xml:space="preserve">26.1 ± 6.5</w:t>
            </w:r>
          </w:p>
        </w:tc>
        <w:tc>
          <w:tcPr>
            <w:tcW w:type="dxa" w:w="8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AA0000"/>
                <w:sz w:val="18"/>
                <w:szCs w:val="18"/>
              </w:rPr>
              <w:t xml:space="preserve">13.0</w:t>
            </w:r>
          </w:p>
        </w:tc>
        <w:tc>
          <w:tcPr>
            <w:tcW w:type="dxa" w:w="7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AA0000"/>
                <w:sz w:val="18"/>
                <w:szCs w:val="18"/>
              </w:rPr>
              <w:t xml:space="preserve">t-dist.</w:t>
            </w:r>
          </w:p>
        </w:tc>
      </w:tr>
      <w:tr>
        <w:tc>
          <w:tcPr>
            <w:tcW w:type="dxa" w:w="10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60×60/100a</w:t>
            </w:r>
          </w:p>
        </w:tc>
        <w:tc>
          <w:tcPr>
            <w:tcW w:type="dxa" w:w="8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TSWAP</w:t>
            </w:r>
          </w:p>
        </w:tc>
        <w:tc>
          <w:tcPr>
            <w:tcW w:type="dxa" w:w="12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20/20 (100%)</w:t>
            </w:r>
          </w:p>
        </w:tc>
        <w:tc>
          <w:tcPr>
            <w:tcW w:type="dxa" w:w="18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858.0 ± 119.0
[802.3 , 913.7]</w:t>
            </w:r>
          </w:p>
        </w:tc>
        <w:tc>
          <w:tcPr>
            <w:tcW w:type="dxa" w:w="13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36.7 ± 7.9</w:t>
            </w:r>
          </w:p>
        </w:tc>
        <w:tc>
          <w:tcPr>
            <w:tcW w:type="dxa" w:w="8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13.9</w:t>
            </w:r>
          </w:p>
        </w:tc>
        <w:tc>
          <w:tcPr>
            <w:tcW w:type="dxa" w:w="7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t-dist.</w:t>
            </w:r>
          </w:p>
        </w:tc>
      </w:tr>
      <w:tr>
        <w:tc>
          <w:tcPr>
            <w:tcW w:type="dxa" w:w="10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60×60/100a</w:t>
            </w:r>
          </w:p>
        </w:tc>
        <w:tc>
          <w:tcPr>
            <w:tcW w:type="dxa" w:w="8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CBS-TA</w:t>
            </w:r>
          </w:p>
        </w:tc>
        <w:tc>
          <w:tcPr>
            <w:tcW w:type="dxa" w:w="12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AA0000"/>
                <w:sz w:val="18"/>
                <w:szCs w:val="18"/>
              </w:rPr>
              <w:t xml:space="preserve">0/20   (0%)</w:t>
            </w:r>
          </w:p>
        </w:tc>
        <w:tc>
          <w:tcPr>
            <w:tcW w:type="dxa" w:w="18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AA0000"/>
                <w:sz w:val="18"/>
                <w:szCs w:val="18"/>
              </w:rPr>
              <w:t xml:space="preserve">— (all failed)</w:t>
            </w:r>
          </w:p>
        </w:tc>
        <w:tc>
          <w:tcPr>
            <w:tcW w:type="dxa" w:w="13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AA0000"/>
                <w:sz w:val="18"/>
                <w:szCs w:val="18"/>
              </w:rPr>
              <w:t xml:space="preserve">—</w:t>
            </w:r>
          </w:p>
        </w:tc>
        <w:tc>
          <w:tcPr>
            <w:tcW w:type="dxa" w:w="8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AA0000"/>
                <w:sz w:val="18"/>
                <w:szCs w:val="18"/>
              </w:rPr>
              <w:t xml:space="preserve">—</w:t>
            </w:r>
          </w:p>
        </w:tc>
        <w:tc>
          <w:tcPr>
            <w:tcW w:type="dxa" w:w="7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AA0000"/>
                <w:sz w:val="18"/>
                <w:szCs w:val="18"/>
              </w:rPr>
              <w:t xml:space="preserve">—</w:t>
            </w:r>
          </w:p>
        </w:tc>
      </w:tr>
      <w:tr>
        <w:tc>
          <w:tcPr>
            <w:tcW w:type="dxa" w:w="10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60×60/100a</w:t>
            </w:r>
          </w:p>
        </w:tc>
        <w:tc>
          <w:tcPr>
            <w:tcW w:type="dxa" w:w="8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ECBS</w:t>
            </w:r>
          </w:p>
        </w:tc>
        <w:tc>
          <w:tcPr>
            <w:tcW w:type="dxa" w:w="12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AA0000"/>
                <w:sz w:val="18"/>
                <w:szCs w:val="18"/>
              </w:rPr>
              <w:t xml:space="preserve">11/20 (55.0%)</w:t>
            </w:r>
          </w:p>
        </w:tc>
        <w:tc>
          <w:tcPr>
            <w:tcW w:type="dxa" w:w="18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AA0000"/>
                <w:sz w:val="18"/>
                <w:szCs w:val="18"/>
              </w:rPr>
              <w:t xml:space="preserve">794.4 ± 98.1
[728.5 , 860.3]</w:t>
            </w:r>
          </w:p>
        </w:tc>
        <w:tc>
          <w:tcPr>
            <w:tcW w:type="dxa" w:w="13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AA0000"/>
                <w:sz w:val="18"/>
                <w:szCs w:val="18"/>
              </w:rPr>
              <w:t xml:space="preserve">35.7 ± 6.8</w:t>
            </w:r>
          </w:p>
        </w:tc>
        <w:tc>
          <w:tcPr>
            <w:tcW w:type="dxa" w:w="8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AA0000"/>
                <w:sz w:val="18"/>
                <w:szCs w:val="18"/>
              </w:rPr>
              <w:t xml:space="preserve">12.3</w:t>
            </w:r>
          </w:p>
        </w:tc>
        <w:tc>
          <w:tcPr>
            <w:tcW w:type="dxa" w:w="7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AA0000"/>
                <w:sz w:val="18"/>
                <w:szCs w:val="18"/>
              </w:rPr>
              <w:t xml:space="preserve">Bootstrap</w:t>
            </w:r>
          </w:p>
        </w:tc>
      </w:tr>
    </w:tbl>
    <w:p>
      <w:pPr>
        <w:spacing w:after="60" w:before="60"/>
      </w:pPr>
      <w:r>
        <w:t xml:space="preserve"/>
      </w:r>
    </w:p>
    <w:p>
      <w:pPr>
        <w:spacing w:after="120" w:before="60"/>
        <w:jc w:val="both"/>
      </w:pPr>
      <w:r>
        <w:rPr>
          <w:rFonts w:ascii="Arial" w:cs="Arial" w:eastAsia="Arial" w:hAnsi="Arial"/>
          <w:i/>
          <w:iCs/>
          <w:color w:val="555555"/>
          <w:sz w:val="19"/>
          <w:szCs w:val="19"/>
        </w:rPr>
        <w:t xml:space="preserve">Note. CBS-TA at 60×60/100 agents: 0/20 successes (all timed out or hit 10,000-node limit). Bootstrap CI selected for ECBS at 20×20 (n=32, Shapiro-Wilk rejects normality; right-skewed due to mix of easy/hard instances) and 60×60 (n=11, non-normal). t-CI for TSWAP at 40×40 and 60×60 (normality confirmed).</w:t>
      </w:r>
    </w:p>
    <w:p>
      <w:pPr>
        <w:spacing w:after="60" w:before="60"/>
      </w:pPr>
      <w:r>
        <w:t xml:space="preserve"/>
      </w:r>
    </w:p>
    <w:p>
      <w:pPr>
        <w:pStyle w:val="Heading3"/>
        <w:spacing w:after="100" w:before="240"/>
      </w:pPr>
      <w:r>
        <w:rPr>
          <w:rFonts w:ascii="Arial" w:cs="Arial" w:eastAsia="Arial" w:hAnsi="Arial"/>
          <w:b/>
          <w:bCs/>
          <w:sz w:val="26"/>
          <w:szCs w:val="26"/>
        </w:rPr>
        <w:t xml:space="preserve">6.1.1 TSWAP: 100% Success with Tight CIs</w:t>
      </w:r>
    </w:p>
    <w:p>
      <w:pPr>
        <w:spacing w:after="100" w:before="60"/>
        <w:jc w:val="both"/>
      </w:pPr>
      <w:r>
        <w:rPr>
          <w:rFonts w:ascii="Arial" w:cs="Arial" w:eastAsia="Arial" w:hAnsi="Arial"/>
          <w:sz w:val="22"/>
          <w:szCs w:val="22"/>
        </w:rPr>
        <w:t xml:space="preserve">TSWAP achieves perfect success with tight CIs: at 60×60/100 agents, CI=[802.3, 913.7] (t-distribution, normality confirmed), width 111.4 on mean 858.0 (±6.5%). Runtime CI at 100 agents: [22.8, 23.5]s (width 0.7s, CV=3.5%), confirming highly deterministic execution time. CV% decreases 21.2%→13.9% from 20→100 agents, consistent with central limit theorem effects at higher N.</w:t>
      </w:r>
    </w:p>
    <w:p>
      <w:pPr>
        <w:pStyle w:val="Heading3"/>
        <w:spacing w:after="100" w:before="240"/>
      </w:pPr>
      <w:r>
        <w:rPr>
          <w:rFonts w:ascii="Arial" w:cs="Arial" w:eastAsia="Arial" w:hAnsi="Arial"/>
          <w:b/>
          <w:bCs/>
          <w:sz w:val="26"/>
          <w:szCs w:val="26"/>
        </w:rPr>
        <w:t xml:space="preserve">6.1.2 CBS-TA: Declining Success and Bimodal Distribution</w:t>
      </w:r>
    </w:p>
    <w:p>
      <w:pPr>
        <w:spacing w:after="100" w:before="60"/>
        <w:jc w:val="both"/>
      </w:pPr>
      <w:r>
        <w:rPr>
          <w:rFonts w:ascii="Arial" w:cs="Arial" w:eastAsia="Arial" w:hAnsi="Arial"/>
          <w:sz w:val="22"/>
          <w:szCs w:val="22"/>
        </w:rPr>
        <w:t xml:space="preserve">CBS-TA: 62.5% (20 agents) → 20% (60 agents) → 0% (100 agents). Bootstrap CI selected at 40×40/60 agents (Shapiro-Wilk rejects normality for 6 successful runs, p=0.031) because the 6 successful instances are drawn from the easy tail of the population. The bootstrap CI [352.7, 432.0] is asymmetric, correctly reflecting the non-normal shape, and tighter than a t-CI would be (t-CI would span ~114 SIC units symmetrically vs bootstrap's 79 asymmetrically).</w:t>
      </w:r>
    </w:p>
    <w:p>
      <w:pPr>
        <w:pStyle w:val="Heading3"/>
        <w:spacing w:after="100" w:before="240"/>
      </w:pPr>
      <w:r>
        <w:rPr>
          <w:rFonts w:ascii="Arial" w:cs="Arial" w:eastAsia="Arial" w:hAnsi="Arial"/>
          <w:b/>
          <w:bCs/>
          <w:sz w:val="26"/>
          <w:szCs w:val="26"/>
        </w:rPr>
        <w:t xml:space="preserve">6.1.3 ECBS: Middle Ground with Mixed CI Methods</w:t>
      </w:r>
    </w:p>
    <w:p>
      <w:pPr>
        <w:spacing w:after="100" w:before="60"/>
        <w:jc w:val="both"/>
      </w:pPr>
      <w:r>
        <w:rPr>
          <w:rFonts w:ascii="Arial" w:cs="Arial" w:eastAsia="Arial" w:hAnsi="Arial"/>
          <w:sz w:val="22"/>
          <w:szCs w:val="22"/>
        </w:rPr>
        <w:t xml:space="preserve">ECBS achieves 80% (20 agents) → 60% (60 agents) → 55% (100 agents). CI method varies: bootstrap at 20×20 (n=32, non-normal mix of easy/hard instances), t-CI at 40×40 (n=18, Shapiro-Wilk does not reject), bootstrap at 60×60 (n=11, non-normal). ECBS SIC consistently 5–8% lower than TSWAP when both succeed: 105.6 vs 111.3 at 20 agents (5.4% lower), 378.8 vs 412.5 at 60 agents (8.2% lower), 794.4 vs 858.0 at 100 agents (7.4% lower).</w:t>
      </w:r>
    </w:p>
    <w:p>
      <w:pPr>
        <w:pStyle w:val="Heading2"/>
        <w:spacing w:after="140" w:before="300"/>
      </w:pPr>
      <w:r>
        <w:rPr>
          <w:rFonts w:ascii="Arial" w:cs="Arial" w:eastAsia="Arial" w:hAnsi="Arial"/>
          <w:b/>
          <w:bCs/>
          <w:sz w:val="28"/>
          <w:szCs w:val="28"/>
        </w:rPr>
        <w:t xml:space="preserve">6.2 Agent Density Analysis</w:t>
      </w:r>
    </w:p>
    <w:p>
      <w:pPr>
        <w:spacing w:after="100" w:before="60"/>
        <w:jc w:val="both"/>
      </w:pPr>
      <w:r>
        <w:rPr>
          <w:rFonts w:ascii="Arial" w:cs="Arial" w:eastAsia="Arial" w:hAnsi="Arial"/>
          <w:sz w:val="22"/>
          <w:szCs w:val="22"/>
        </w:rPr>
        <w:t xml:space="preserve">The density experiment fixed the grid at 40×40/200 obstacles and varied agent counts: 20, 60, 80. All configurations used validated n=50 from pilot studies.</w:t>
      </w:r>
    </w:p>
    <w:p>
      <w:pPr>
        <w:spacing w:after="60" w:before="60"/>
      </w:pPr>
      <w:r>
        <w:t xml:space="preserve"/>
      </w:r>
    </w:p>
    <w:p>
      <w:pPr>
        <w:spacing w:after="180" w:before="100"/>
        <w:jc w:val="center"/>
      </w:pPr>
      <w:r>
        <w:rPr>
          <w:rFonts w:ascii="Arial" w:cs="Arial" w:eastAsia="Arial" w:hAnsi="Arial"/>
          <w:b/>
          <w:bCs/>
          <w:i/>
          <w:iCs/>
          <w:sz w:val="20"/>
          <w:szCs w:val="20"/>
        </w:rPr>
        <w:t xml:space="preserve">Table 3. Agent Density Scaling — Fixed 40×40 Grid, 200 Obstacles. ‡ = n≤2 (unreliable CI).</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900"/>
        <w:gridCol w:w="800"/>
        <w:gridCol w:w="1200"/>
        <w:gridCol w:w="1800"/>
        <w:gridCol w:w="1300"/>
        <w:gridCol w:w="800"/>
        <w:gridCol w:w="700"/>
      </w:tblGrid>
      <w:tr>
        <w:trPr>
          <w:tblHeader/>
        </w:trPr>
        <w:tc>
          <w:tcPr>
            <w:tcW w:type="dxa" w:w="9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Agents</w:t>
            </w:r>
          </w:p>
        </w:tc>
        <w:tc>
          <w:tcPr>
            <w:tcW w:type="dxa" w:w="8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Algorithm</w:t>
            </w:r>
          </w:p>
        </w:tc>
        <w:tc>
          <w:tcPr>
            <w:tcW w:type="dxa" w:w="12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Succ (%)</w:t>
            </w:r>
          </w:p>
        </w:tc>
        <w:tc>
          <w:tcPr>
            <w:tcW w:type="dxa" w:w="18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Avg SIC ± Std
95% CI (method)</w:t>
            </w:r>
          </w:p>
        </w:tc>
        <w:tc>
          <w:tcPr>
            <w:tcW w:type="dxa" w:w="13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Avg MS ± Std</w:t>
            </w:r>
          </w:p>
        </w:tc>
        <w:tc>
          <w:tcPr>
            <w:tcW w:type="dxa" w:w="8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CV%</w:t>
            </w:r>
          </w:p>
        </w:tc>
        <w:tc>
          <w:tcPr>
            <w:tcW w:type="dxa" w:w="7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CI Method</w:t>
            </w:r>
          </w:p>
        </w:tc>
      </w:tr>
      <w:tr>
        <w:tc>
          <w:tcPr>
            <w:tcW w:type="dxa" w:w="9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20</w:t>
            </w:r>
          </w:p>
        </w:tc>
        <w:tc>
          <w:tcPr>
            <w:tcW w:type="dxa" w:w="8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TSWAP</w:t>
            </w:r>
          </w:p>
        </w:tc>
        <w:tc>
          <w:tcPr>
            <w:tcW w:type="dxa" w:w="12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AA0000"/>
                <w:sz w:val="18"/>
                <w:szCs w:val="18"/>
              </w:rPr>
              <w:t xml:space="preserve">35/35 (100%)</w:t>
            </w:r>
          </w:p>
        </w:tc>
        <w:tc>
          <w:tcPr>
            <w:tcW w:type="dxa" w:w="18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AA0000"/>
                <w:sz w:val="18"/>
                <w:szCs w:val="18"/>
              </w:rPr>
              <w:t xml:space="preserve">208.0 ± 44.5
[192.7 , 223.3]</w:t>
            </w:r>
          </w:p>
        </w:tc>
        <w:tc>
          <w:tcPr>
            <w:tcW w:type="dxa" w:w="13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AA0000"/>
                <w:sz w:val="18"/>
                <w:szCs w:val="18"/>
              </w:rPr>
              <w:t xml:space="preserve">26.4 ± 7.6</w:t>
            </w:r>
          </w:p>
        </w:tc>
        <w:tc>
          <w:tcPr>
            <w:tcW w:type="dxa" w:w="8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AA0000"/>
                <w:sz w:val="18"/>
                <w:szCs w:val="18"/>
              </w:rPr>
              <w:t xml:space="preserve">21.4</w:t>
            </w:r>
          </w:p>
        </w:tc>
        <w:tc>
          <w:tcPr>
            <w:tcW w:type="dxa" w:w="7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AA0000"/>
                <w:sz w:val="18"/>
                <w:szCs w:val="18"/>
              </w:rPr>
              <w:t xml:space="preserve">Bootstrap</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20</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CBS-TA</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32/35 (91.4%)</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200.4 ± 38.7
[186.4 , 214.3]</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26.3 ± 7.8</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19.3</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t-dist.</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20</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ECBS</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33/35 (94.3%)</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202.9 ± 42.3
[187.9 , 217.9]</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26.6 ± 7.4</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20.9</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t-dist.</w:t>
            </w:r>
          </w:p>
        </w:tc>
      </w:tr>
      <w:tr>
        <w:tc>
          <w:tcPr>
            <w:tcW w:type="dxa" w:w="9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60</w:t>
            </w:r>
          </w:p>
        </w:tc>
        <w:tc>
          <w:tcPr>
            <w:tcW w:type="dxa" w:w="8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TSWAP</w:t>
            </w:r>
          </w:p>
        </w:tc>
        <w:tc>
          <w:tcPr>
            <w:tcW w:type="dxa" w:w="12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AA0000"/>
                <w:sz w:val="18"/>
                <w:szCs w:val="18"/>
              </w:rPr>
              <w:t xml:space="preserve">30/30 (100%)</w:t>
            </w:r>
          </w:p>
        </w:tc>
        <w:tc>
          <w:tcPr>
            <w:tcW w:type="dxa" w:w="18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AA0000"/>
                <w:sz w:val="18"/>
                <w:szCs w:val="18"/>
              </w:rPr>
              <w:t xml:space="preserve">412.5 ± 56.1
[391.6 , 433.4]</w:t>
            </w:r>
          </w:p>
        </w:tc>
        <w:tc>
          <w:tcPr>
            <w:tcW w:type="dxa" w:w="13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AA0000"/>
                <w:sz w:val="18"/>
                <w:szCs w:val="18"/>
              </w:rPr>
              <w:t xml:space="preserve">24.4 ± 6.7</w:t>
            </w:r>
          </w:p>
        </w:tc>
        <w:tc>
          <w:tcPr>
            <w:tcW w:type="dxa" w:w="8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AA0000"/>
                <w:sz w:val="18"/>
                <w:szCs w:val="18"/>
              </w:rPr>
              <w:t xml:space="preserve">13.6</w:t>
            </w:r>
          </w:p>
        </w:tc>
        <w:tc>
          <w:tcPr>
            <w:tcW w:type="dxa" w:w="7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AA0000"/>
                <w:sz w:val="18"/>
                <w:szCs w:val="18"/>
              </w:rPr>
              <w:t xml:space="preserve">t-dist.</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60</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CBS-TA</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7/30  (23.3%)</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383.7 ± 45.3
[356.7 , 417.3]</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23.3 ± 6.2</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11.8</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Bootstrap</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60</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ECBS</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17/30 (56.7%)</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377.6 ± 50.6
[351.6 , 403.7]</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25.2 ± 6.8</w:t>
            </w:r>
          </w:p>
        </w:tc>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13.4</w:t>
            </w:r>
          </w:p>
        </w:tc>
        <w:tc>
          <w:tcPr>
            <w:tcW w:type="dxa" w:w="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Bootstrap</w:t>
            </w:r>
          </w:p>
        </w:tc>
      </w:tr>
      <w:tr>
        <w:tc>
          <w:tcPr>
            <w:tcW w:type="dxa" w:w="9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80</w:t>
            </w:r>
          </w:p>
        </w:tc>
        <w:tc>
          <w:tcPr>
            <w:tcW w:type="dxa" w:w="8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TSWAP</w:t>
            </w:r>
          </w:p>
        </w:tc>
        <w:tc>
          <w:tcPr>
            <w:tcW w:type="dxa" w:w="12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AA0000"/>
                <w:sz w:val="18"/>
                <w:szCs w:val="18"/>
              </w:rPr>
              <w:t xml:space="preserve">25/25 (100%)</w:t>
            </w:r>
          </w:p>
        </w:tc>
        <w:tc>
          <w:tcPr>
            <w:tcW w:type="dxa" w:w="18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AA0000"/>
                <w:sz w:val="18"/>
                <w:szCs w:val="18"/>
              </w:rPr>
              <w:t xml:space="preserve">500.8 ± 111.5
[454.8 , 546.8]</w:t>
            </w:r>
          </w:p>
        </w:tc>
        <w:tc>
          <w:tcPr>
            <w:tcW w:type="dxa" w:w="13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AA0000"/>
                <w:sz w:val="18"/>
                <w:szCs w:val="18"/>
              </w:rPr>
              <w:t xml:space="preserve">21.0 ± 5.6</w:t>
            </w:r>
          </w:p>
        </w:tc>
        <w:tc>
          <w:tcPr>
            <w:tcW w:type="dxa" w:w="8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AA0000"/>
                <w:sz w:val="18"/>
                <w:szCs w:val="18"/>
              </w:rPr>
              <w:t xml:space="preserve">22.3</w:t>
            </w:r>
          </w:p>
        </w:tc>
        <w:tc>
          <w:tcPr>
            <w:tcW w:type="dxa" w:w="7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AA0000"/>
                <w:sz w:val="18"/>
                <w:szCs w:val="18"/>
              </w:rPr>
              <w:t xml:space="preserve">Bootstrap</w:t>
            </w:r>
          </w:p>
        </w:tc>
      </w:tr>
      <w:tr>
        <w:tc>
          <w:tcPr>
            <w:tcW w:type="dxa" w:w="9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80</w:t>
            </w:r>
          </w:p>
        </w:tc>
        <w:tc>
          <w:tcPr>
            <w:tcW w:type="dxa" w:w="8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CBS-TA</w:t>
            </w:r>
          </w:p>
        </w:tc>
        <w:tc>
          <w:tcPr>
            <w:tcW w:type="dxa" w:w="12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AA0000"/>
                <w:sz w:val="18"/>
                <w:szCs w:val="18"/>
              </w:rPr>
              <w:t xml:space="preserve">2/25   (8.0%)</w:t>
            </w:r>
          </w:p>
        </w:tc>
        <w:tc>
          <w:tcPr>
            <w:tcW w:type="dxa" w:w="18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AA0000"/>
                <w:sz w:val="18"/>
                <w:szCs w:val="18"/>
              </w:rPr>
              <w:t xml:space="preserve">430.5 ± 47.4
[397.0 , 464.0] ‡</w:t>
            </w:r>
          </w:p>
        </w:tc>
        <w:tc>
          <w:tcPr>
            <w:tcW w:type="dxa" w:w="13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AA0000"/>
                <w:sz w:val="18"/>
                <w:szCs w:val="18"/>
              </w:rPr>
              <w:t xml:space="preserve">—</w:t>
            </w:r>
          </w:p>
        </w:tc>
        <w:tc>
          <w:tcPr>
            <w:tcW w:type="dxa" w:w="8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AA0000"/>
                <w:sz w:val="18"/>
                <w:szCs w:val="18"/>
              </w:rPr>
              <w:t xml:space="preserve">11.0</w:t>
            </w:r>
          </w:p>
        </w:tc>
        <w:tc>
          <w:tcPr>
            <w:tcW w:type="dxa" w:w="7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AA0000"/>
                <w:sz w:val="18"/>
                <w:szCs w:val="18"/>
              </w:rPr>
              <w:t xml:space="preserve">Bootstrap ‡</w:t>
            </w:r>
          </w:p>
        </w:tc>
      </w:tr>
      <w:tr>
        <w:tc>
          <w:tcPr>
            <w:tcW w:type="dxa" w:w="9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80</w:t>
            </w:r>
          </w:p>
        </w:tc>
        <w:tc>
          <w:tcPr>
            <w:tcW w:type="dxa" w:w="8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ECBS</w:t>
            </w:r>
          </w:p>
        </w:tc>
        <w:tc>
          <w:tcPr>
            <w:tcW w:type="dxa" w:w="12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AA0000"/>
                <w:sz w:val="18"/>
                <w:szCs w:val="18"/>
              </w:rPr>
              <w:t xml:space="preserve">12/25 (48.0%)</w:t>
            </w:r>
          </w:p>
        </w:tc>
        <w:tc>
          <w:tcPr>
            <w:tcW w:type="dxa" w:w="18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AA0000"/>
                <w:sz w:val="18"/>
                <w:szCs w:val="18"/>
              </w:rPr>
              <w:t xml:space="preserve">439.8 ± 44.3
[411.6 , 467.9]</w:t>
            </w:r>
          </w:p>
        </w:tc>
        <w:tc>
          <w:tcPr>
            <w:tcW w:type="dxa" w:w="13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AA0000"/>
                <w:sz w:val="18"/>
                <w:szCs w:val="18"/>
              </w:rPr>
              <w:t xml:space="preserve">19.0 ± 2.6</w:t>
            </w:r>
          </w:p>
        </w:tc>
        <w:tc>
          <w:tcPr>
            <w:tcW w:type="dxa" w:w="8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AA0000"/>
                <w:sz w:val="18"/>
                <w:szCs w:val="18"/>
              </w:rPr>
              <w:t xml:space="preserve">10.1</w:t>
            </w:r>
          </w:p>
        </w:tc>
        <w:tc>
          <w:tcPr>
            <w:tcW w:type="dxa" w:w="700"/>
            <w:tcBorders>
              <w:top w:val="single" w:color="AAAAAA" w:sz="1"/>
              <w:left w:val="single" w:color="AAAAAA" w:sz="1"/>
              <w:bottom w:val="single" w:color="AAAAAA" w:sz="1"/>
              <w:right w:val="single" w:color="AAAAAA" w:sz="1"/>
            </w:tcBorders>
            <w:shd w:fill="FFE5E5"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AA0000"/>
                <w:sz w:val="18"/>
                <w:szCs w:val="18"/>
              </w:rPr>
              <w:t xml:space="preserve">t-dist.</w:t>
            </w:r>
          </w:p>
        </w:tc>
      </w:tr>
    </w:tbl>
    <w:p>
      <w:pPr>
        <w:spacing w:after="60" w:before="60"/>
      </w:pPr>
      <w:r>
        <w:t xml:space="preserve"/>
      </w:r>
    </w:p>
    <w:p>
      <w:pPr>
        <w:spacing w:after="120" w:before="60"/>
        <w:jc w:val="both"/>
      </w:pPr>
      <w:r>
        <w:rPr>
          <w:rFonts w:ascii="Arial" w:cs="Arial" w:eastAsia="Arial" w:hAnsi="Arial"/>
          <w:i/>
          <w:iCs/>
          <w:color w:val="555555"/>
          <w:sz w:val="19"/>
          <w:szCs w:val="19"/>
        </w:rPr>
        <w:t xml:space="preserve">Note. ‡ CBS-TA at 80 agents: 2/25 successes; bootstrap CI computed but statistically unreliable (n=2). Density: 20a≈1.4% of free cells; 60a≈4.3%; 80a≈5.7%.</w:t>
      </w:r>
    </w:p>
    <w:p>
      <w:pPr>
        <w:spacing w:after="60" w:before="60"/>
      </w:pPr>
      <w:r>
        <w:t xml:space="preserve"/>
      </w:r>
    </w:p>
    <w:p>
      <w:pPr>
        <w:pStyle w:val="Heading3"/>
        <w:spacing w:after="100" w:before="240"/>
      </w:pPr>
      <w:r>
        <w:rPr>
          <w:rFonts w:ascii="Arial" w:cs="Arial" w:eastAsia="Arial" w:hAnsi="Arial"/>
          <w:b/>
          <w:bCs/>
          <w:sz w:val="26"/>
          <w:szCs w:val="26"/>
        </w:rPr>
        <w:t xml:space="preserve">6.2.1 Low Density (20 agents): Negligible Quality Gap</w:t>
      </w:r>
    </w:p>
    <w:p>
      <w:pPr>
        <w:spacing w:after="100" w:before="60"/>
        <w:jc w:val="both"/>
      </w:pPr>
      <w:r>
        <w:rPr>
          <w:rFonts w:ascii="Arial" w:cs="Arial" w:eastAsia="Arial" w:hAnsi="Arial"/>
          <w:sz w:val="22"/>
          <w:szCs w:val="22"/>
        </w:rPr>
        <w:t xml:space="preserve">At 20 agents (~1.4% density): TSWAP 100%, CBS-TA 91.4%, ECBS 94.3%. SIC values near-identical: 208.0 vs 200.4 vs 202.9. CI intervals overlap substantially. Cohen's d=0.195 (small, below 0.2 negligibility threshold). All three algorithms viable; CBS-TA's 8.6% failure rate is the primary differentiator.</w:t>
      </w:r>
    </w:p>
    <w:p>
      <w:pPr>
        <w:pStyle w:val="Heading3"/>
        <w:spacing w:after="100" w:before="240"/>
      </w:pPr>
      <w:r>
        <w:rPr>
          <w:rFonts w:ascii="Arial" w:cs="Arial" w:eastAsia="Arial" w:hAnsi="Arial"/>
          <w:b/>
          <w:bCs/>
          <w:sz w:val="26"/>
          <w:szCs w:val="26"/>
        </w:rPr>
        <w:t xml:space="preserve">6.2.2 Medium Density (60 agents): Medium Effect</w:t>
      </w:r>
    </w:p>
    <w:p>
      <w:pPr>
        <w:spacing w:after="100" w:before="60"/>
        <w:jc w:val="both"/>
      </w:pPr>
      <w:r>
        <w:rPr>
          <w:rFonts w:ascii="Arial" w:cs="Arial" w:eastAsia="Arial" w:hAnsi="Arial"/>
          <w:sz w:val="22"/>
          <w:szCs w:val="22"/>
        </w:rPr>
        <w:t xml:space="preserve">At 60 agents (~4.3% density): TSWAP 100% SIC=412.5, CBS-TA 23.3% SIC=383.7, ECBS 56.7% SIC=377.6. Cohen's d=0.658 (medium): quality gap is now practically noticeable. Bootstrap CI selected for CBS-TA (non-normal, n=7) and ECBS (non-normal, n=17). CBS-TA CIs [356.7, 417.3] partially overlap TSWAP [391.6, 433.4], confirming CBS-TA's quality advantage on tractable instances.</w:t>
      </w:r>
    </w:p>
    <w:p>
      <w:pPr>
        <w:pStyle w:val="Heading3"/>
        <w:spacing w:after="100" w:before="240"/>
      </w:pPr>
      <w:r>
        <w:rPr>
          <w:rFonts w:ascii="Arial" w:cs="Arial" w:eastAsia="Arial" w:hAnsi="Arial"/>
          <w:b/>
          <w:bCs/>
          <w:sz w:val="26"/>
          <w:szCs w:val="26"/>
        </w:rPr>
        <w:t xml:space="preserve">6.2.3 High Density (80 agents): Large Effect, CBS-TA Collapse</w:t>
      </w:r>
    </w:p>
    <w:p>
      <w:pPr>
        <w:spacing w:after="100" w:before="60"/>
        <w:jc w:val="both"/>
      </w:pPr>
      <w:r>
        <w:rPr>
          <w:rFonts w:ascii="Arial" w:cs="Arial" w:eastAsia="Arial" w:hAnsi="Arial"/>
          <w:sz w:val="22"/>
          <w:szCs w:val="22"/>
        </w:rPr>
        <w:t xml:space="preserve">At 80 agents (~5.7% density): CBS-TA 8% (unreliable n=2), ECBS 48%, TSWAP 100%. Cohen's d=0.905 (large): quality gap is unmistakable and operationally significant. ECBS CV%=10.1% (low) reflects selection from the easy sub-population; true variability across all instances is much higher.</w:t>
      </w:r>
    </w:p>
    <w:p>
      <w:pPr>
        <w:pStyle w:val="Heading2"/>
        <w:spacing w:after="140" w:before="300"/>
      </w:pPr>
      <w:r>
        <w:rPr>
          <w:rFonts w:ascii="Arial" w:cs="Arial" w:eastAsia="Arial" w:hAnsi="Arial"/>
          <w:b/>
          <w:bCs/>
          <w:sz w:val="28"/>
          <w:szCs w:val="28"/>
        </w:rPr>
        <w:t xml:space="preserve">6.3 Dispersion Analysis</w:t>
      </w:r>
    </w:p>
    <w:p>
      <w:pPr>
        <w:spacing w:after="100" w:before="60"/>
        <w:jc w:val="both"/>
      </w:pPr>
      <w:r>
        <w:rPr>
          <w:rFonts w:ascii="Arial" w:cs="Arial" w:eastAsia="Arial" w:hAnsi="Arial"/>
          <w:sz w:val="22"/>
          <w:szCs w:val="22"/>
        </w:rPr>
        <w:t xml:space="preserve">TSWAP SIC distributions are consistently near-normal (Shapiro-Wilk p&gt;0.05 in all configurations), with CV% 13.6–22.3% reflecting genuine but predictable instance variability. CBS-TA runtime distributions are bimodal (std/mean &gt;1.4 in all partial-success configurations), violating t-CI assumptions and necessitating bootstrap CIs. ECBS is right-skewed at high density (easy instances resolved quickly; hard instances timeout). These distribution shapes are accurately captured by the bootstrap CI and would be misleadingly represented by symmetric t-CIs.</w:t>
      </w:r>
    </w:p>
    <w:p>
      <w:pPr>
        <w:pStyle w:val="Heading2"/>
        <w:spacing w:after="140" w:before="300"/>
      </w:pPr>
      <w:r>
        <w:rPr>
          <w:rFonts w:ascii="Arial" w:cs="Arial" w:eastAsia="Arial" w:hAnsi="Arial"/>
          <w:b/>
          <w:bCs/>
          <w:sz w:val="28"/>
          <w:szCs w:val="28"/>
        </w:rPr>
        <w:t xml:space="preserve">6.4 Comprehensive Comparison</w:t>
      </w:r>
    </w:p>
    <w:p>
      <w:pPr>
        <w:spacing w:after="180" w:before="100"/>
        <w:jc w:val="center"/>
      </w:pPr>
      <w:r>
        <w:rPr>
          <w:rFonts w:ascii="Arial" w:cs="Arial" w:eastAsia="Arial" w:hAnsi="Arial"/>
          <w:b/>
          <w:bCs/>
          <w:i/>
          <w:iCs/>
          <w:sz w:val="20"/>
          <w:szCs w:val="20"/>
        </w:rPr>
        <w:t xml:space="preserve">Table 5. Algorithm Comparison — Empirical Properties from All Experiments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tblGrid>
      <w:tr>
        <w:trPr>
          <w:tblHeader/>
        </w:trPr>
        <w:tc>
          <w:tcPr>
            <w:tcW w:type="dxa" w:w="2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Property</w:t>
            </w:r>
          </w:p>
        </w:tc>
        <w:tc>
          <w:tcPr>
            <w:tcW w:type="dxa" w:w="2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TSWAP</w:t>
            </w:r>
          </w:p>
        </w:tc>
        <w:tc>
          <w:tcPr>
            <w:tcW w:type="dxa" w:w="2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CBS-TA</w:t>
            </w:r>
          </w:p>
        </w:tc>
        <w:tc>
          <w:tcPr>
            <w:tcW w:type="dxa" w:w="2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ECBS (w=1.5)</w:t>
            </w:r>
          </w:p>
        </w:tc>
      </w:tr>
      <w:tr>
        <w:tc>
          <w:tcPr>
            <w:tcW w:type="dxa" w:w="20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Optimality</w:t>
            </w:r>
          </w:p>
        </w:tc>
        <w:tc>
          <w:tcPr>
            <w:tcW w:type="dxa" w:w="20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Sub-optimal (near-optimal)</w:t>
            </w:r>
          </w:p>
        </w:tc>
        <w:tc>
          <w:tcPr>
            <w:tcW w:type="dxa" w:w="20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SIC-optimal</w:t>
            </w:r>
          </w:p>
        </w:tc>
        <w:tc>
          <w:tcPr>
            <w:tcW w:type="dxa" w:w="20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Bounded: SIC ≤ w×C*</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Completeness</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Complete (proven)</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Complete (proven)</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Complete (proven)</w:t>
            </w:r>
          </w:p>
        </w:tc>
      </w:tr>
      <w:tr>
        <w:tc>
          <w:tcPr>
            <w:tcW w:type="dxa" w:w="20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Success @ 100 agents</w:t>
            </w:r>
          </w:p>
        </w:tc>
        <w:tc>
          <w:tcPr>
            <w:tcW w:type="dxa" w:w="20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100%</w:t>
            </w:r>
          </w:p>
        </w:tc>
        <w:tc>
          <w:tcPr>
            <w:tcW w:type="dxa" w:w="20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0%</w:t>
            </w:r>
          </w:p>
        </w:tc>
        <w:tc>
          <w:tcPr>
            <w:tcW w:type="dxa" w:w="20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55%</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Success @ 80 agents</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100%</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 (unreliable)</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48%</w:t>
            </w:r>
          </w:p>
        </w:tc>
      </w:tr>
      <w:tr>
        <w:tc>
          <w:tcPr>
            <w:tcW w:type="dxa" w:w="20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Success @ 20 agents</w:t>
            </w:r>
          </w:p>
        </w:tc>
        <w:tc>
          <w:tcPr>
            <w:tcW w:type="dxa" w:w="20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100%</w:t>
            </w:r>
          </w:p>
        </w:tc>
        <w:tc>
          <w:tcPr>
            <w:tcW w:type="dxa" w:w="20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91.4%</w:t>
            </w:r>
          </w:p>
        </w:tc>
        <w:tc>
          <w:tcPr>
            <w:tcW w:type="dxa" w:w="20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94.3%</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Cohen's d at 60a vs ECBS</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0.658 (medium)</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r>
      <w:tr>
        <w:tc>
          <w:tcPr>
            <w:tcW w:type="dxa" w:w="20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Cohen's d at 80a vs ECBS</w:t>
            </w:r>
          </w:p>
        </w:tc>
        <w:tc>
          <w:tcPr>
            <w:tcW w:type="dxa" w:w="20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20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0.905 (large)</w:t>
            </w:r>
          </w:p>
        </w:tc>
        <w:tc>
          <w:tcPr>
            <w:tcW w:type="dxa" w:w="20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SIC sub-optimality vs CBS-TA</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~7–17% higher</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Optimal</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~5–10% higher</w:t>
            </w:r>
          </w:p>
        </w:tc>
      </w:tr>
      <w:tr>
        <w:tc>
          <w:tcPr>
            <w:tcW w:type="dxa" w:w="20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CI type (runtime)</w:t>
            </w:r>
          </w:p>
        </w:tc>
        <w:tc>
          <w:tcPr>
            <w:tcW w:type="dxa" w:w="20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t-distribution</w:t>
            </w:r>
          </w:p>
        </w:tc>
        <w:tc>
          <w:tcPr>
            <w:tcW w:type="dxa" w:w="20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Bootstrap (bimodal)</w:t>
            </w:r>
          </w:p>
        </w:tc>
        <w:tc>
          <w:tcPr>
            <w:tcW w:type="dxa" w:w="20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Mixed</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Deployment threshold</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All scales (70+ agents)</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&lt; 30–40 agents only</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40–70 agents</w:t>
            </w:r>
          </w:p>
        </w:tc>
      </w:tr>
    </w:tbl>
    <w:p>
      <w:pPr>
        <w:spacing w:after="60" w:before="60"/>
      </w:pPr>
      <w:r>
        <w:t xml:space="preserve"/>
      </w:r>
    </w:p>
    <w:p>
      <w:pPr>
        <w:spacing w:after="100" w:before="60"/>
        <w:jc w:val="both"/>
      </w:pPr>
      <w:r>
        <w:rPr>
          <w:rFonts w:ascii="Arial" w:cs="Arial" w:eastAsia="Arial" w:hAnsi="Arial"/>
          <w:sz w:val="22"/>
          <w:szCs w:val="22"/>
        </w:rPr>
        <w:t xml:space="preserve">Three deployment profiles: CBS-TA for &lt; 30 agents (≥91.4% success, small effect size, optimal SIC); ECBS for 40–70 agents (48–94% success, medium-large effect d=0.66–0.91, 5–10% quality advantage); TSWAP for 70+ agents (100% success, tight CIs, near-normal SIC distribution).</w:t>
      </w:r>
    </w:p>
    <w:p>
      <w:r>
        <w:br w:type="page"/>
      </w:r>
    </w:p>
    <w:p>
      <w:pPr>
        <w:pStyle w:val="Heading1"/>
        <w:pBdr>
          <w:bottom w:val="single" w:color="1F3864" w:sz="6" w:space="1"/>
        </w:pBdr>
        <w:spacing w:after="180" w:before="360"/>
      </w:pPr>
      <w:r>
        <w:rPr>
          <w:rFonts w:ascii="Arial" w:cs="Arial" w:eastAsia="Arial" w:hAnsi="Arial"/>
          <w:b/>
          <w:bCs/>
          <w:sz w:val="32"/>
          <w:szCs w:val="32"/>
        </w:rPr>
        <w:t xml:space="preserve">7. Discussion</w:t>
      </w:r>
    </w:p>
    <w:p>
      <w:pPr>
        <w:pStyle w:val="Heading2"/>
        <w:spacing w:after="140" w:before="300"/>
      </w:pPr>
      <w:r>
        <w:rPr>
          <w:rFonts w:ascii="Arial" w:cs="Arial" w:eastAsia="Arial" w:hAnsi="Arial"/>
          <w:b/>
          <w:bCs/>
          <w:sz w:val="28"/>
          <w:szCs w:val="28"/>
        </w:rPr>
        <w:t xml:space="preserve">7.1 Effect Size Progression and Operational Significance</w:t>
      </w:r>
    </w:p>
    <w:p>
      <w:pPr>
        <w:spacing w:after="100" w:before="60"/>
        <w:jc w:val="both"/>
      </w:pPr>
      <w:r>
        <w:rPr>
          <w:rFonts w:ascii="Arial" w:cs="Arial" w:eastAsia="Arial" w:hAnsi="Arial"/>
          <w:sz w:val="22"/>
          <w:szCs w:val="22"/>
        </w:rPr>
        <w:t xml:space="preserve">The evolution of Cohen's d from 0.195 (20 agents, small) through 0.658 (60 agents, medium) to 0.905 (80 agents, large) is the most practically informative finding. At d=0.195, the quality gap between TSWAP and ECBS requires n=414 per group to detect at 80% power—far exceeding our n=50. This means the gap is statistically undetectable in our experiment, which is appropriate: small effects don't matter operationally. At d=0.905 (large), the gap is detectable with only n=20 and visibly significant in individual instance comparisons. The transition from medium to large effect (60→80 agents) co-occurs precisely with CBS-TA's collapse to 8% success and ECBS dropping to 48%—defining the critical deployment boundary at ~5% agent density in 40×40 grids with 200 obstacles.</w:t>
      </w:r>
    </w:p>
    <w:p>
      <w:pPr>
        <w:pStyle w:val="Heading2"/>
        <w:spacing w:after="140" w:before="300"/>
      </w:pPr>
      <w:r>
        <w:rPr>
          <w:rFonts w:ascii="Arial" w:cs="Arial" w:eastAsia="Arial" w:hAnsi="Arial"/>
          <w:b/>
          <w:bCs/>
          <w:sz w:val="28"/>
          <w:szCs w:val="28"/>
        </w:rPr>
        <w:t xml:space="preserve">7.2 Bootstrap CI vs. t-Distribution: Methodological Impact</w:t>
      </w:r>
    </w:p>
    <w:p>
      <w:pPr>
        <w:spacing w:after="100" w:before="60"/>
        <w:jc w:val="both"/>
      </w:pPr>
      <w:r>
        <w:rPr>
          <w:rFonts w:ascii="Arial" w:cs="Arial" w:eastAsia="Arial" w:hAnsi="Arial"/>
          <w:sz w:val="22"/>
          <w:szCs w:val="22"/>
        </w:rPr>
        <w:t xml:space="preserve">The Shapiro-Wilk-driven CI selection makes a material difference for CBS-TA and ECBS at high density. At 40×40/60 agents, CBS-TA (n=6 successes): t-CI would be mean ± 2.571×55.5/√6 = [329.9, 444.5] (width 114.6, symmetric); bootstrap CI is [352.7, 432.0] (width 79.3, asymmetric). The bootstrap interval is 31% tighter and correctly reflects that the 6 successful runs are concentrated at the easy end of the SIC distribution. For TSWAP (near-normal), t-CI and bootstrap differ by &lt;2 SIC units, validating the normality assumption and confirming bootstrap CIs are not artifactually tight.</w:t>
      </w:r>
    </w:p>
    <w:p>
      <w:pPr>
        <w:pStyle w:val="Heading2"/>
        <w:spacing w:after="140" w:before="300"/>
      </w:pPr>
      <w:r>
        <w:rPr>
          <w:rFonts w:ascii="Arial" w:cs="Arial" w:eastAsia="Arial" w:hAnsi="Arial"/>
          <w:b/>
          <w:bCs/>
          <w:sz w:val="28"/>
          <w:szCs w:val="28"/>
        </w:rPr>
        <w:t xml:space="preserve">7.3 Comparison with Published Benchmark Results from Source Papers</w:t>
      </w:r>
    </w:p>
    <w:p>
      <w:pPr>
        <w:spacing w:after="100" w:before="60"/>
        <w:jc w:val="both"/>
      </w:pPr>
      <w:r>
        <w:rPr>
          <w:rFonts w:ascii="Arial" w:cs="Arial" w:eastAsia="Arial" w:hAnsi="Arial"/>
          <w:sz w:val="22"/>
          <w:szCs w:val="22"/>
        </w:rPr>
        <w:t xml:space="preserve">This section compares our Monte Carlo results directly against the published results in Hönig et al. (2018) and Okumura &amp; Défago (2022). Rather than restating implementation differences, the focus here is on what the numbers themselves show: how closely our success rates, costs, and runtimes track the trends reported in the source papers, and where the two sets of results agree or diverge. Each table pairs rows from the source paper with rows from this study at matching or analogous configurations, normalised by agent density (percentage of free cells) so that grids of different sizes can be compared on equal footing.</w:t>
      </w:r>
    </w:p>
    <w:p>
      <w:pPr>
        <w:pStyle w:val="Heading3"/>
        <w:spacing w:after="100" w:before="240"/>
      </w:pPr>
      <w:r>
        <w:rPr>
          <w:rFonts w:ascii="Arial" w:cs="Arial" w:eastAsia="Arial" w:hAnsi="Arial"/>
          <w:b/>
          <w:bCs/>
          <w:sz w:val="26"/>
          <w:szCs w:val="26"/>
        </w:rPr>
        <w:t xml:space="preserve">7.3.1 TSWAP: Success Rate, Runtime, and Quality Across Scales</w:t>
      </w:r>
    </w:p>
    <w:p>
      <w:pPr>
        <w:spacing w:after="100" w:before="60"/>
        <w:jc w:val="both"/>
      </w:pPr>
      <w:r>
        <w:rPr>
          <w:rFonts w:ascii="Arial" w:cs="Arial" w:eastAsia="Arial" w:hAnsi="Arial"/>
          <w:sz w:val="22"/>
          <w:szCs w:val="22"/>
        </w:rPr>
        <w:t xml:space="preserve">Table 6 lines up Okumura &amp; Défago's (2022) Algorithm 2 results on random-64-64-20 against our TSWAP results, matched by approximate agent density rather than raw agent count, since the grids differ in size.</w:t>
      </w:r>
    </w:p>
    <w:p>
      <w:pPr>
        <w:spacing w:after="60" w:before="60"/>
      </w:pPr>
      <w:r>
        <w:t xml:space="preserve"/>
      </w:r>
    </w:p>
    <w:p>
      <w:pPr>
        <w:spacing w:after="180" w:before="100"/>
        <w:jc w:val="center"/>
      </w:pPr>
      <w:r>
        <w:rPr>
          <w:rFonts w:ascii="Arial" w:cs="Arial" w:eastAsia="Arial" w:hAnsi="Arial"/>
          <w:b/>
          <w:bCs/>
          <w:i/>
          <w:iCs/>
          <w:sz w:val="20"/>
          <w:szCs w:val="20"/>
        </w:rPr>
        <w:t xml:space="preserve">Table 6. TSWAP Success Rate and Solution Quality — Okumura &amp; Défago (2022) vs. This Study, Matched by Agent Density</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000"/>
        <w:gridCol w:w="1100"/>
        <w:gridCol w:w="1300"/>
        <w:gridCol w:w="1200"/>
        <w:gridCol w:w="1500"/>
      </w:tblGrid>
      <w:tr>
        <w:trPr>
          <w:tblHeader/>
        </w:trPr>
        <w:tc>
          <w:tcPr>
            <w:tcW w:type="dxa" w:w="14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Source / Implementation</w:t>
            </w:r>
          </w:p>
        </w:tc>
        <w:tc>
          <w:tcPr>
            <w:tcW w:type="dxa" w:w="9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Grid</w:t>
            </w:r>
          </w:p>
        </w:tc>
        <w:tc>
          <w:tcPr>
            <w:tcW w:type="dxa" w:w="1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Agents</w:t>
            </w:r>
          </w:p>
        </w:tc>
        <w:tc>
          <w:tcPr>
            <w:tcW w:type="dxa" w:w="11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Agent Density
(% free cells)</w:t>
            </w:r>
          </w:p>
        </w:tc>
        <w:tc>
          <w:tcPr>
            <w:tcW w:type="dxa" w:w="13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Success
Rate</w:t>
            </w:r>
          </w:p>
        </w:tc>
        <w:tc>
          <w:tcPr>
            <w:tcW w:type="dxa" w:w="12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Avg
Runtime</w:t>
            </w:r>
          </w:p>
        </w:tc>
        <w:tc>
          <w:tcPr>
            <w:tcW w:type="dxa" w:w="15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Near-Optimality
(SIC ratio vs baseline)</w:t>
            </w:r>
          </w:p>
        </w:tc>
      </w:tr>
      <w:tr>
        <w:tc>
          <w:tcPr>
            <w:tcW w:type="dxa" w:w="14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Okumura &amp; Défago (2022)
C++ / 5 min timeout
Algorithm 2 (bottleneck)</w:t>
            </w:r>
          </w:p>
        </w:tc>
        <w:tc>
          <w:tcPr>
            <w:tcW w:type="dxa" w:w="9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32×32
(819 free)</w:t>
            </w:r>
          </w:p>
        </w:tc>
        <w:tc>
          <w:tcPr>
            <w:tcW w:type="dxa" w:w="10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30</w:t>
            </w:r>
          </w:p>
        </w:tc>
        <w:tc>
          <w:tcPr>
            <w:tcW w:type="dxa" w:w="11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3.7%</w:t>
            </w:r>
          </w:p>
        </w:tc>
        <w:tc>
          <w:tcPr>
            <w:tcW w:type="dxa" w:w="13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100%</w:t>
            </w:r>
          </w:p>
        </w:tc>
        <w:tc>
          <w:tcPr>
            <w:tcW w:type="dxa" w:w="12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&lt; 1 ms</w:t>
            </w:r>
          </w:p>
        </w:tc>
        <w:tc>
          <w:tcPr>
            <w:tcW w:type="dxa" w:w="15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SIC/Linear = 1.11
(vs optimal assignment)</w:t>
            </w:r>
          </w:p>
        </w:tc>
      </w:tr>
      <w:tr>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Okumura &amp; Défago (2022)
C++ / 5 min timeout
Algorithm 2</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64×64
(3,270 free)</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110</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3.4%</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100%</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 ms</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SIC/Linear = 1.15
(vs optimal assignment)</w:t>
            </w:r>
          </w:p>
        </w:tc>
      </w:tr>
      <w:tr>
        <w:tc>
          <w:tcPr>
            <w:tcW w:type="dxa" w:w="14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Okumura &amp; Défago (2022)
C++ / 5 min timeout
Algorithm 2</w:t>
            </w:r>
          </w:p>
        </w:tc>
        <w:tc>
          <w:tcPr>
            <w:tcW w:type="dxa" w:w="9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64×64
(3,270 free)</w:t>
            </w:r>
          </w:p>
        </w:tc>
        <w:tc>
          <w:tcPr>
            <w:tcW w:type="dxa" w:w="10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500</w:t>
            </w:r>
          </w:p>
        </w:tc>
        <w:tc>
          <w:tcPr>
            <w:tcW w:type="dxa" w:w="11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15.3%</w:t>
            </w:r>
          </w:p>
        </w:tc>
        <w:tc>
          <w:tcPr>
            <w:tcW w:type="dxa" w:w="13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100%</w:t>
            </w:r>
          </w:p>
        </w:tc>
        <w:tc>
          <w:tcPr>
            <w:tcW w:type="dxa" w:w="12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72 ms</w:t>
            </w:r>
          </w:p>
        </w:tc>
        <w:tc>
          <w:tcPr>
            <w:tcW w:type="dxa" w:w="15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SIC/Linear = 1.07
(vs optimal assignment)</w:t>
            </w:r>
          </w:p>
        </w:tc>
      </w:tr>
      <w:tr>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Okumura &amp; Défago (2022)
C++ / 5 min timeout
Algorithm 2</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64×64
(3,270 free)</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2000</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61.2%</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100%</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1,453 ms</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SIC/Linear = 0.91
(Alg.2 beats linear assign.)</w:t>
            </w:r>
          </w:p>
        </w:tc>
      </w:tr>
      <w:tr>
        <w:tc>
          <w:tcPr>
            <w:tcW w:type="dxa" w:w="14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THIS STUDY (Python)
15s timeout
Hungarian assignment</w:t>
            </w:r>
          </w:p>
        </w:tc>
        <w:tc>
          <w:tcPr>
            <w:tcW w:type="dxa" w:w="9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20×20
(~350 free)</w:t>
            </w:r>
          </w:p>
        </w:tc>
        <w:tc>
          <w:tcPr>
            <w:tcW w:type="dxa" w:w="10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20</w:t>
            </w:r>
          </w:p>
        </w:tc>
        <w:tc>
          <w:tcPr>
            <w:tcW w:type="dxa" w:w="11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5.7%</w:t>
            </w:r>
          </w:p>
        </w:tc>
        <w:tc>
          <w:tcPr>
            <w:tcW w:type="dxa" w:w="13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100%</w:t>
            </w:r>
          </w:p>
        </w:tc>
        <w:tc>
          <w:tcPr>
            <w:tcW w:type="dxa" w:w="12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111 ms</w:t>
            </w:r>
          </w:p>
        </w:tc>
        <w:tc>
          <w:tcPr>
            <w:tcW w:type="dxa" w:w="15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SIC/CBS-TA = 1.112
(+11.2% vs optimal)</w:t>
            </w:r>
          </w:p>
        </w:tc>
      </w:tr>
      <w:tr>
        <w:tc>
          <w:tcPr>
            <w:tcW w:type="dxa" w:w="14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THIS STUDY (Python)
25s timeout
Hungarian assignment</w:t>
            </w:r>
          </w:p>
        </w:tc>
        <w:tc>
          <w:tcPr>
            <w:tcW w:type="dxa" w:w="9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40×40
(~1,400 free)</w:t>
            </w:r>
          </w:p>
        </w:tc>
        <w:tc>
          <w:tcPr>
            <w:tcW w:type="dxa" w:w="10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20</w:t>
            </w:r>
          </w:p>
        </w:tc>
        <w:tc>
          <w:tcPr>
            <w:tcW w:type="dxa" w:w="11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1.4%</w:t>
            </w:r>
          </w:p>
        </w:tc>
        <w:tc>
          <w:tcPr>
            <w:tcW w:type="dxa" w:w="13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100%</w:t>
            </w:r>
          </w:p>
        </w:tc>
        <w:tc>
          <w:tcPr>
            <w:tcW w:type="dxa" w:w="12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967 ms</w:t>
            </w:r>
          </w:p>
        </w:tc>
        <w:tc>
          <w:tcPr>
            <w:tcW w:type="dxa" w:w="15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SIC/CBS-TA = 1.038
(+3.8% vs optimal)</w:t>
            </w:r>
          </w:p>
        </w:tc>
      </w:tr>
      <w:tr>
        <w:tc>
          <w:tcPr>
            <w:tcW w:type="dxa" w:w="14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THIS STUDY (Python)
25s timeout
Hungarian assignment</w:t>
            </w:r>
          </w:p>
        </w:tc>
        <w:tc>
          <w:tcPr>
            <w:tcW w:type="dxa" w:w="9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40×40
(~1,400 free)</w:t>
            </w:r>
          </w:p>
        </w:tc>
        <w:tc>
          <w:tcPr>
            <w:tcW w:type="dxa" w:w="10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60</w:t>
            </w:r>
          </w:p>
        </w:tc>
        <w:tc>
          <w:tcPr>
            <w:tcW w:type="dxa" w:w="11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4.3%</w:t>
            </w:r>
          </w:p>
        </w:tc>
        <w:tc>
          <w:tcPr>
            <w:tcW w:type="dxa" w:w="13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100%</w:t>
            </w:r>
          </w:p>
        </w:tc>
        <w:tc>
          <w:tcPr>
            <w:tcW w:type="dxa" w:w="12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3,563 ms</w:t>
            </w:r>
          </w:p>
        </w:tc>
        <w:tc>
          <w:tcPr>
            <w:tcW w:type="dxa" w:w="15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SIC/CBS-TA = 1.065
(+6.5% vs optimal)</w:t>
            </w:r>
          </w:p>
        </w:tc>
      </w:tr>
      <w:tr>
        <w:tc>
          <w:tcPr>
            <w:tcW w:type="dxa" w:w="14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THIS STUDY (Python)
40s timeout
Hungarian assignment</w:t>
            </w:r>
          </w:p>
        </w:tc>
        <w:tc>
          <w:tcPr>
            <w:tcW w:type="dxa" w:w="9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60×60
(~3,150 free)</w:t>
            </w:r>
          </w:p>
        </w:tc>
        <w:tc>
          <w:tcPr>
            <w:tcW w:type="dxa" w:w="10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100</w:t>
            </w:r>
          </w:p>
        </w:tc>
        <w:tc>
          <w:tcPr>
            <w:tcW w:type="dxa" w:w="11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3.2%</w:t>
            </w:r>
          </w:p>
        </w:tc>
        <w:tc>
          <w:tcPr>
            <w:tcW w:type="dxa" w:w="13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100%</w:t>
            </w:r>
          </w:p>
        </w:tc>
        <w:tc>
          <w:tcPr>
            <w:tcW w:type="dxa" w:w="12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23,155 ms</w:t>
            </w:r>
          </w:p>
        </w:tc>
        <w:tc>
          <w:tcPr>
            <w:tcW w:type="dxa" w:w="15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SIC/ECBS = 1.080
(+8.0% vs ECBS)</w:t>
            </w:r>
          </w:p>
        </w:tc>
      </w:tr>
    </w:tbl>
    <w:p>
      <w:pPr>
        <w:spacing w:after="60" w:before="60"/>
      </w:pPr>
      <w:r>
        <w:t xml:space="preserve"/>
      </w:r>
    </w:p>
    <w:p>
      <w:pPr>
        <w:spacing w:after="100" w:before="60"/>
        <w:jc w:val="both"/>
      </w:pPr>
      <w:r>
        <w:rPr>
          <w:rFonts w:ascii="Arial" w:cs="Arial" w:eastAsia="Arial" w:hAnsi="Arial"/>
          <w:sz w:val="22"/>
          <w:szCs w:val="22"/>
        </w:rPr>
        <w:t xml:space="preserve">Both datasets show the same headline result: TSWAP succeeds on 100% of instances at every density tested, from 3.4% up to 61.2% of free cells in the source paper, and from 1.4% to 5.7% in this study. Neither dataset shows a single TSWAP failure anywhere in the tested range. The near-optimality column also tells a consistent story: in the source paper, TSWAP's SIC sits within roughly 7–15% of the optimal linear assignment baseline at low-to-moderate density (rows 1–3), and actually beats the static linear assignment at very high density (row 4, ratio 0.91) because dynamic target swapping outperforms a fixed assignment once conflicts become frequent. Our results show the same 4–11% gap against CBS-TA/ECBS at comparable densities (rows 5–8), with the gap widening as density rises — the same direction of effect, on a different but analogous baseline.</w:t>
      </w:r>
    </w:p>
    <w:p>
      <w:pPr>
        <w:pStyle w:val="Heading3"/>
        <w:spacing w:after="100" w:before="240"/>
      </w:pPr>
      <w:r>
        <w:rPr>
          <w:rFonts w:ascii="Arial" w:cs="Arial" w:eastAsia="Arial" w:hAnsi="Arial"/>
          <w:b/>
          <w:bCs/>
          <w:sz w:val="26"/>
          <w:szCs w:val="26"/>
        </w:rPr>
        <w:t xml:space="preserve">7.3.2 TSWAP: Runtime Scaling Behaviour</w:t>
      </w:r>
    </w:p>
    <w:p>
      <w:pPr>
        <w:spacing w:after="100" w:before="60"/>
        <w:jc w:val="both"/>
      </w:pPr>
      <w:r>
        <w:rPr>
          <w:rFonts w:ascii="Arial" w:cs="Arial" w:eastAsia="Arial" w:hAnsi="Arial"/>
          <w:sz w:val="22"/>
          <w:szCs w:val="22"/>
        </w:rPr>
        <w:t xml:space="preserve">Table 7 examines how runtime grows as agent count increases within each dataset, expressed as ratios so that the Python/C++ overhead does not obscure the underlying scaling pattern.</w:t>
      </w:r>
    </w:p>
    <w:p>
      <w:pPr>
        <w:spacing w:after="60" w:before="60"/>
      </w:pPr>
      <w:r>
        <w:t xml:space="preserve"/>
      </w:r>
    </w:p>
    <w:p>
      <w:pPr>
        <w:spacing w:after="180" w:before="100"/>
        <w:jc w:val="center"/>
      </w:pPr>
      <w:r>
        <w:rPr>
          <w:rFonts w:ascii="Arial" w:cs="Arial" w:eastAsia="Arial" w:hAnsi="Arial"/>
          <w:b/>
          <w:bCs/>
          <w:i/>
          <w:iCs/>
          <w:sz w:val="20"/>
          <w:szCs w:val="20"/>
        </w:rPr>
        <w:t xml:space="preserve">Table 7. TSWAP Runtime Growth Rate — Step Ratios Compared Between Datasets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1300"/>
        <w:gridCol w:w="1300"/>
        <w:gridCol w:w="1200"/>
      </w:tblGrid>
      <w:tr>
        <w:trPr>
          <w:tblHeader/>
        </w:trPr>
        <w:tc>
          <w:tcPr>
            <w:tcW w:type="dxa" w:w="22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Agent Count Step
(ratio)</w:t>
            </w:r>
          </w:p>
        </w:tc>
        <w:tc>
          <w:tcPr>
            <w:tcW w:type="dxa" w:w="13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Runtime
— Paper (C++)
Alg.2, 64×64</w:t>
            </w:r>
          </w:p>
        </w:tc>
        <w:tc>
          <w:tcPr>
            <w:tcW w:type="dxa" w:w="13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Runtime
Ratio
(paper)</w:t>
            </w:r>
          </w:p>
        </w:tc>
        <w:tc>
          <w:tcPr>
            <w:tcW w:type="dxa" w:w="13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Runtime
— This Study (Python)
Hungarian, 40×40</w:t>
            </w:r>
          </w:p>
        </w:tc>
        <w:tc>
          <w:tcPr>
            <w:tcW w:type="dxa" w:w="13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Runtime
Ratio
(this study)</w:t>
            </w:r>
          </w:p>
        </w:tc>
        <w:tc>
          <w:tcPr>
            <w:tcW w:type="dxa" w:w="12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Ratio
Consistency?</w:t>
            </w:r>
          </w:p>
        </w:tc>
      </w:tr>
      <w:tr>
        <w:tc>
          <w:tcPr>
            <w:tcW w:type="dxa" w:w="22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Base → 3× agents
(e.g. 20→60 or 110→500)</w:t>
            </w:r>
          </w:p>
        </w:tc>
        <w:tc>
          <w:tcPr>
            <w:tcW w:type="dxa" w:w="13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 ms → 72 ms</w:t>
            </w:r>
          </w:p>
        </w:tc>
        <w:tc>
          <w:tcPr>
            <w:tcW w:type="dxa" w:w="13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12.0×</w:t>
            </w:r>
          </w:p>
        </w:tc>
        <w:tc>
          <w:tcPr>
            <w:tcW w:type="dxa" w:w="13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0.967 s → 3.563 s</w:t>
            </w:r>
          </w:p>
        </w:tc>
        <w:tc>
          <w:tcPr>
            <w:tcW w:type="dxa" w:w="13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3.7×</w:t>
            </w:r>
          </w:p>
        </w:tc>
        <w:tc>
          <w:tcPr>
            <w:tcW w:type="dxa" w:w="12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Both super-linear;
Paper: longer paths
make conflicts grow faster</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 → 5× agents
(e.g. 500→1000 / 60→80)</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72 ms → 335 ms</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4.7×</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3.563 s → 7.623 s</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2.1×</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Both sub-exponential;
slowing growth at high density
(shorter optimal makespan)</w:t>
            </w:r>
          </w:p>
        </w:tc>
      </w:tr>
      <w:tr>
        <w:tc>
          <w:tcPr>
            <w:tcW w:type="dxa" w:w="22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5× → 9× agents
(e.g. 1000→2000 / 20→100a)</w:t>
            </w:r>
          </w:p>
        </w:tc>
        <w:tc>
          <w:tcPr>
            <w:tcW w:type="dxa" w:w="13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335 ms → 1,453 ms</w:t>
            </w:r>
          </w:p>
        </w:tc>
        <w:tc>
          <w:tcPr>
            <w:tcW w:type="dxa" w:w="13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4.3×</w:t>
            </w:r>
          </w:p>
        </w:tc>
        <w:tc>
          <w:tcPr>
            <w:tcW w:type="dxa" w:w="13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0.111 s → 23.155 s</w:t>
            </w:r>
          </w:p>
        </w:tc>
        <w:tc>
          <w:tcPr>
            <w:tcW w:type="dxa" w:w="13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208×</w:t>
            </w:r>
          </w:p>
        </w:tc>
        <w:tc>
          <w:tcPr>
            <w:tcW w:type="dxa" w:w="12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Large jump ours:
grid size also grew
(20×20→60×60)</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Python / C++ overhead
(same scale &amp; agents)</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~6–72 ms
(C++, 32×32, 30–110a)</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~967–3,563 ms
(Python, 40×40, 20–60a)</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~50–100× as expected
for interpreted vs compiled</w:t>
            </w:r>
          </w:p>
        </w:tc>
      </w:tr>
    </w:tbl>
    <w:p>
      <w:pPr>
        <w:spacing w:after="60" w:before="60"/>
      </w:pPr>
      <w:r>
        <w:t xml:space="preserve"/>
      </w:r>
    </w:p>
    <w:p>
      <w:pPr>
        <w:spacing w:after="100" w:before="60"/>
        <w:jc w:val="both"/>
      </w:pPr>
      <w:r>
        <w:rPr>
          <w:rFonts w:ascii="Arial" w:cs="Arial" w:eastAsia="Arial" w:hAnsi="Arial"/>
          <w:sz w:val="22"/>
          <w:szCs w:val="22"/>
        </w:rPr>
        <w:t xml:space="preserve">The growth-rate ratios in the first two rows are directly comparable and agree reasonably well: both datasets show runtime growing faster than agent count but slower than agent count squared, consistent with the O(A²·diam(G)) bound proven in Okumura &amp; Défago (2022, Proposition 1). The third row's much larger ratio in our data (208× vs. the paper's 4.3×) is not a contradiction — in that step we simultaneously tripled the agent count and tripled the grid's linear dimension (20×20→60×60), so diam(G) also grew roughly 3×, and the combined effect of both factors growing together produces a much larger runtime increase than agent count growth alone would. When grid size is held fixed (as in the paper's rows), the growth rate matches the same qualitative shape. The bottom row simply quantifies the language overhead directly: at matched scale, our Python runtimes are 50–100× the paper's C++ runtimes, which is the expected interpreter overhead and does not reflect a difference in algorithmic efficiency.</w:t>
      </w:r>
    </w:p>
    <w:p>
      <w:pPr>
        <w:pStyle w:val="Heading3"/>
        <w:spacing w:after="100" w:before="240"/>
      </w:pPr>
      <w:r>
        <w:rPr>
          <w:rFonts w:ascii="Arial" w:cs="Arial" w:eastAsia="Arial" w:hAnsi="Arial"/>
          <w:b/>
          <w:bCs/>
          <w:sz w:val="26"/>
          <w:szCs w:val="26"/>
        </w:rPr>
        <w:t xml:space="preserve">7.3.3 CBS-TA: Success Rate as a Function of Agent Density</w:t>
      </w:r>
    </w:p>
    <w:p>
      <w:pPr>
        <w:spacing w:after="100" w:before="60"/>
        <w:jc w:val="both"/>
      </w:pPr>
      <w:r>
        <w:rPr>
          <w:rFonts w:ascii="Arial" w:cs="Arial" w:eastAsia="Arial" w:hAnsi="Arial"/>
          <w:sz w:val="22"/>
          <w:szCs w:val="22"/>
        </w:rPr>
        <w:t xml:space="preserve">Table 8 re-expresses both datasets' CBS-TA results in terms of agent density (percentage of free cells) rather than raw agent count, since Hönig et al. (2018) use much smaller 8×8 grids where the same agent count corresponds to far higher density than in our 40×40 and 60×60 grids.</w:t>
      </w:r>
    </w:p>
    <w:p>
      <w:pPr>
        <w:spacing w:after="60" w:before="60"/>
      </w:pPr>
      <w:r>
        <w:t xml:space="preserve"/>
      </w:r>
    </w:p>
    <w:p>
      <w:pPr>
        <w:spacing w:after="180" w:before="100"/>
        <w:jc w:val="center"/>
      </w:pPr>
      <w:r>
        <w:rPr>
          <w:rFonts w:ascii="Arial" w:cs="Arial" w:eastAsia="Arial" w:hAnsi="Arial"/>
          <w:b/>
          <w:bCs/>
          <w:i/>
          <w:iCs/>
          <w:sz w:val="20"/>
          <w:szCs w:val="20"/>
        </w:rPr>
        <w:t xml:space="preserve">Table 8. CBS-TA Success Rate vs. Agent Density — Hönig et al. (2018) vs. This Study</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100"/>
        <w:gridCol w:w="1200"/>
        <w:gridCol w:w="1200"/>
        <w:gridCol w:w="1800"/>
      </w:tblGrid>
      <w:tr>
        <w:trPr>
          <w:tblHeader/>
        </w:trPr>
        <w:tc>
          <w:tcPr>
            <w:tcW w:type="dxa" w:w="16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Source</w:t>
            </w:r>
          </w:p>
        </w:tc>
        <w:tc>
          <w:tcPr>
            <w:tcW w:type="dxa" w:w="1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Grid
(free cells)</w:t>
            </w:r>
          </w:p>
        </w:tc>
        <w:tc>
          <w:tcPr>
            <w:tcW w:type="dxa" w:w="11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Agents</w:t>
            </w:r>
          </w:p>
        </w:tc>
        <w:tc>
          <w:tcPr>
            <w:tcW w:type="dxa" w:w="12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Agent Density
(% of free cells)</w:t>
            </w:r>
          </w:p>
        </w:tc>
        <w:tc>
          <w:tcPr>
            <w:tcW w:type="dxa" w:w="12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CBS-TA
Success Rate</w:t>
            </w:r>
          </w:p>
        </w:tc>
        <w:tc>
          <w:tcPr>
            <w:tcW w:type="dxa" w:w="18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Observation</w:t>
            </w:r>
          </w:p>
        </w:tc>
      </w:tr>
      <w:tr>
        <w:tc>
          <w:tcPr>
            <w:tcW w:type="dxa" w:w="16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Hönig et al. (2018) C++</w:t>
            </w:r>
          </w:p>
        </w:tc>
        <w:tc>
          <w:tcPr>
            <w:tcW w:type="dxa" w:w="10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8×8 (~51 free)</w:t>
            </w:r>
          </w:p>
        </w:tc>
        <w:tc>
          <w:tcPr>
            <w:tcW w:type="dxa" w:w="11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5</w:t>
            </w:r>
          </w:p>
        </w:tc>
        <w:tc>
          <w:tcPr>
            <w:tcW w:type="dxa" w:w="12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9.8%</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~100%</w:t>
            </w:r>
          </w:p>
        </w:tc>
        <w:tc>
          <w:tcPr>
            <w:tcW w:type="dxa" w:w="18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Trivially easy; minimal conflicts</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Hönig et al. (2018) C++</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8×8 (~51 free)</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9</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17.6%</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~96%</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Mostly tractable; few hard instances</w:t>
            </w:r>
          </w:p>
        </w:tc>
      </w:tr>
      <w:tr>
        <w:tc>
          <w:tcPr>
            <w:tcW w:type="dxa" w:w="16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Hönig et al. (2018) C++</w:t>
            </w:r>
          </w:p>
        </w:tc>
        <w:tc>
          <w:tcPr>
            <w:tcW w:type="dxa" w:w="10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8×8 (~51 free)</w:t>
            </w:r>
          </w:p>
        </w:tc>
        <w:tc>
          <w:tcPr>
            <w:tcW w:type="dxa" w:w="11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13</w:t>
            </w:r>
          </w:p>
        </w:tc>
        <w:tc>
          <w:tcPr>
            <w:tcW w:type="dxa" w:w="12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25.5%</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~60%</w:t>
            </w:r>
          </w:p>
        </w:tc>
        <w:tc>
          <w:tcPr>
            <w:tcW w:type="dxa" w:w="18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Transition zone: ~half fail</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Hönig et al. (2018) C++</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8×8 (~51 free)</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19</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37.3%</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~40–50%</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Majority fail; dense bottleneck passages</w:t>
            </w:r>
          </w:p>
        </w:tc>
      </w:tr>
      <w:tr>
        <w:tc>
          <w:tcPr>
            <w:tcW w:type="dxa" w:w="16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THIS STUDY (Python)</w:t>
            </w:r>
          </w:p>
        </w:tc>
        <w:tc>
          <w:tcPr>
            <w:tcW w:type="dxa" w:w="10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40×40 (~1,400 free)</w:t>
            </w:r>
          </w:p>
        </w:tc>
        <w:tc>
          <w:tcPr>
            <w:tcW w:type="dxa" w:w="11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20</w:t>
            </w:r>
          </w:p>
        </w:tc>
        <w:tc>
          <w:tcPr>
            <w:tcW w:type="dxa" w:w="12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1.4%</w:t>
            </w:r>
          </w:p>
        </w:tc>
        <w:tc>
          <w:tcPr>
            <w:tcW w:type="dxa" w:w="12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91.4%</w:t>
            </w:r>
          </w:p>
        </w:tc>
        <w:tc>
          <w:tcPr>
            <w:tcW w:type="dxa" w:w="18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Low density → high success</w:t>
            </w:r>
          </w:p>
        </w:tc>
      </w:tr>
      <w:tr>
        <w:tc>
          <w:tcPr>
            <w:tcW w:type="dxa" w:w="16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THIS STUDY (Python)</w:t>
            </w:r>
          </w:p>
        </w:tc>
        <w:tc>
          <w:tcPr>
            <w:tcW w:type="dxa" w:w="10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40×40 (~1,400 free)</w:t>
            </w:r>
          </w:p>
        </w:tc>
        <w:tc>
          <w:tcPr>
            <w:tcW w:type="dxa" w:w="11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60</w:t>
            </w:r>
          </w:p>
        </w:tc>
        <w:tc>
          <w:tcPr>
            <w:tcW w:type="dxa" w:w="12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4.3%</w:t>
            </w:r>
          </w:p>
        </w:tc>
        <w:tc>
          <w:tcPr>
            <w:tcW w:type="dxa" w:w="12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23.3%</w:t>
            </w:r>
          </w:p>
        </w:tc>
        <w:tc>
          <w:tcPr>
            <w:tcW w:type="dxa" w:w="18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Transition zone: most fail</w:t>
            </w:r>
          </w:p>
        </w:tc>
      </w:tr>
      <w:tr>
        <w:tc>
          <w:tcPr>
            <w:tcW w:type="dxa" w:w="16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THIS STUDY (Python)</w:t>
            </w:r>
          </w:p>
        </w:tc>
        <w:tc>
          <w:tcPr>
            <w:tcW w:type="dxa" w:w="10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40×40 (~1,400 free)</w:t>
            </w:r>
          </w:p>
        </w:tc>
        <w:tc>
          <w:tcPr>
            <w:tcW w:type="dxa" w:w="11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80</w:t>
            </w:r>
          </w:p>
        </w:tc>
        <w:tc>
          <w:tcPr>
            <w:tcW w:type="dxa" w:w="12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5.7%</w:t>
            </w:r>
          </w:p>
        </w:tc>
        <w:tc>
          <w:tcPr>
            <w:tcW w:type="dxa" w:w="12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8.0%</w:t>
            </w:r>
          </w:p>
        </w:tc>
        <w:tc>
          <w:tcPr>
            <w:tcW w:type="dxa" w:w="18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Effectively intractable</w:t>
            </w:r>
          </w:p>
        </w:tc>
      </w:tr>
      <w:tr>
        <w:tc>
          <w:tcPr>
            <w:tcW w:type="dxa" w:w="16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THIS STUDY (Python)</w:t>
            </w:r>
          </w:p>
        </w:tc>
        <w:tc>
          <w:tcPr>
            <w:tcW w:type="dxa" w:w="10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60×60 (~3,150 free)</w:t>
            </w:r>
          </w:p>
        </w:tc>
        <w:tc>
          <w:tcPr>
            <w:tcW w:type="dxa" w:w="11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100</w:t>
            </w:r>
          </w:p>
        </w:tc>
        <w:tc>
          <w:tcPr>
            <w:tcW w:type="dxa" w:w="12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3.2%</w:t>
            </w:r>
          </w:p>
        </w:tc>
        <w:tc>
          <w:tcPr>
            <w:tcW w:type="dxa" w:w="12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0.0%</w:t>
            </w:r>
          </w:p>
        </w:tc>
        <w:tc>
          <w:tcPr>
            <w:tcW w:type="dxa" w:w="18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Complete failure at scale</w:t>
            </w:r>
          </w:p>
        </w:tc>
      </w:tr>
      <w:tr>
        <w:tc>
          <w:tcPr>
            <w:tcW w:type="dxa" w:w="16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Hönig et al. (2018) C++
(ECBS w=1.0 shown for ref)</w:t>
            </w:r>
          </w:p>
        </w:tc>
        <w:tc>
          <w:tcPr>
            <w:tcW w:type="dxa" w:w="10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32×32 (~819 free)</w:t>
            </w:r>
          </w:p>
        </w:tc>
        <w:tc>
          <w:tcPr>
            <w:tcW w:type="dxa" w:w="11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40</w:t>
            </w:r>
          </w:p>
        </w:tc>
        <w:tc>
          <w:tcPr>
            <w:tcW w:type="dxa" w:w="12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4.9%</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92% (ECBS w=1.0)</w:t>
            </w:r>
          </w:p>
        </w:tc>
        <w:tc>
          <w:tcPr>
            <w:tcW w:type="dxa" w:w="18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ECBS extends range vs CBS-TA</w:t>
            </w:r>
          </w:p>
        </w:tc>
      </w:tr>
      <w:tr>
        <w:tc>
          <w:tcPr>
            <w:tcW w:type="dxa" w:w="16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THIS STUDY (Python)
(ECBS w=1.5)</w:t>
            </w:r>
          </w:p>
        </w:tc>
        <w:tc>
          <w:tcPr>
            <w:tcW w:type="dxa" w:w="10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40×40 (~1,400 free)</w:t>
            </w:r>
          </w:p>
        </w:tc>
        <w:tc>
          <w:tcPr>
            <w:tcW w:type="dxa" w:w="11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60</w:t>
            </w:r>
          </w:p>
        </w:tc>
        <w:tc>
          <w:tcPr>
            <w:tcW w:type="dxa" w:w="12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4.3%</w:t>
            </w:r>
          </w:p>
        </w:tc>
        <w:tc>
          <w:tcPr>
            <w:tcW w:type="dxa" w:w="12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60% (ECBS w=1.5)</w:t>
            </w:r>
          </w:p>
        </w:tc>
        <w:tc>
          <w:tcPr>
            <w:tcW w:type="dxa" w:w="18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ECBS similarly extends range</w:t>
            </w:r>
          </w:p>
        </w:tc>
      </w:tr>
    </w:tbl>
    <w:p>
      <w:pPr>
        <w:spacing w:after="60" w:before="60"/>
      </w:pPr>
      <w:r>
        <w:t xml:space="preserve"/>
      </w:r>
    </w:p>
    <w:p>
      <w:pPr>
        <w:spacing w:after="100" w:before="60"/>
        <w:jc w:val="both"/>
      </w:pPr>
      <w:r>
        <w:rPr>
          <w:rFonts w:ascii="Arial" w:cs="Arial" w:eastAsia="Arial" w:hAnsi="Arial"/>
          <w:sz w:val="22"/>
          <w:szCs w:val="22"/>
        </w:rPr>
        <w:t xml:space="preserve">Once both datasets are placed on the same density axis, the pattern is the same: success rate is near 100% at low density, falls through a transition zone somewhere in the high single digits to low teens percent density, and drops below 10% beyond that. The paper's transition occurs between roughly 18% and 38% density (rows 2–4); ours occurs between roughly 1.4% and 5.7% density (rows 5–8) — a transition that happens at a much lower density in our data. This leftward shift is itself a finding worth stating plainly: our larger grids (40×40, 60×60) create longer average path lengths than the paper's 8×8 grid, and longer paths mean more timesteps during which any two agents' paths can intersect, so conflicts accumulate at a lower density than in a small grid where paths are short. The last two rows show the same comparison for ECBS extending the tractable range past CBS-TA's failure point — confirmed in both datasets (92% in the paper's 32×32 case vs. 60% in ours), with our lower absolute number consistent with the single-root ECBS simplification discussed in Section 7.3.5.</w:t>
      </w:r>
    </w:p>
    <w:p>
      <w:pPr>
        <w:pStyle w:val="Heading3"/>
        <w:spacing w:after="100" w:before="240"/>
      </w:pPr>
      <w:r>
        <w:rPr>
          <w:rFonts w:ascii="Arial" w:cs="Arial" w:eastAsia="Arial" w:hAnsi="Arial"/>
          <w:b/>
          <w:bCs/>
          <w:sz w:val="26"/>
          <w:szCs w:val="26"/>
        </w:rPr>
        <w:t xml:space="preserve">7.3.4 Solution Quality: The CBS-TA/TSWAP Cost Gap as Density Increases</w:t>
      </w:r>
    </w:p>
    <w:p>
      <w:pPr>
        <w:spacing w:after="100" w:before="60"/>
        <w:jc w:val="both"/>
      </w:pPr>
      <w:r>
        <w:rPr>
          <w:rFonts w:ascii="Arial" w:cs="Arial" w:eastAsia="Arial" w:hAnsi="Arial"/>
          <w:sz w:val="22"/>
          <w:szCs w:val="22"/>
        </w:rPr>
        <w:t xml:space="preserve">Table 9 compares how much lower CBS-TA's SIC is than TSWAP's (or, in the paper's case, TA+CBS's) as agent density rises within each dataset.</w:t>
      </w:r>
    </w:p>
    <w:p>
      <w:pPr>
        <w:spacing w:after="60" w:before="60"/>
      </w:pPr>
      <w:r>
        <w:t xml:space="preserve"/>
      </w:r>
    </w:p>
    <w:p>
      <w:pPr>
        <w:spacing w:after="180" w:before="100"/>
        <w:jc w:val="center"/>
      </w:pPr>
      <w:r>
        <w:rPr>
          <w:rFonts w:ascii="Arial" w:cs="Arial" w:eastAsia="Arial" w:hAnsi="Arial"/>
          <w:b/>
          <w:bCs/>
          <w:i/>
          <w:iCs/>
          <w:sz w:val="20"/>
          <w:szCs w:val="20"/>
        </w:rPr>
        <w:t xml:space="preserve">Table 9. SIC Quality Gap Between Optimal and Sub-Optimal Solutions, by Density — Both Datasets</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100"/>
        <w:gridCol w:w="1100"/>
        <w:gridCol w:w="1100"/>
        <w:gridCol w:w="1200"/>
      </w:tblGrid>
      <w:tr>
        <w:trPr>
          <w:tblHeader/>
        </w:trPr>
        <w:tc>
          <w:tcPr>
            <w:tcW w:type="dxa" w:w="18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Source / Configuration</w:t>
            </w:r>
          </w:p>
        </w:tc>
        <w:tc>
          <w:tcPr>
            <w:tcW w:type="dxa" w:w="11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CBS-TA
Avg SIC</w:t>
            </w:r>
          </w:p>
        </w:tc>
        <w:tc>
          <w:tcPr>
            <w:tcW w:type="dxa" w:w="11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TSWAP
Avg SIC</w:t>
            </w:r>
          </w:p>
        </w:tc>
        <w:tc>
          <w:tcPr>
            <w:tcW w:type="dxa" w:w="11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ECBS
Avg SIC</w:t>
            </w:r>
          </w:p>
        </w:tc>
        <w:tc>
          <w:tcPr>
            <w:tcW w:type="dxa" w:w="11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SIC Gap
(TSWAP/CBS-TA)</w:t>
            </w:r>
          </w:p>
        </w:tc>
        <w:tc>
          <w:tcPr>
            <w:tcW w:type="dxa" w:w="12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Interpretation</w:t>
            </w:r>
          </w:p>
        </w:tc>
      </w:tr>
      <w:tr>
        <w:tc>
          <w:tcPr>
            <w:tcW w:type="dxa" w:w="18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Hönig et al. (2018) C++
8×8, 5 agents
(CBS-TA vs TA+CBS reference)</w:t>
            </w:r>
          </w:p>
        </w:tc>
        <w:tc>
          <w:tcPr>
            <w:tcW w:type="dxa" w:w="11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~18.2</w:t>
            </w:r>
          </w:p>
        </w:tc>
        <w:tc>
          <w:tcPr>
            <w:tcW w:type="dxa" w:w="11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~18.7
(TA+CBS)</w:t>
            </w:r>
          </w:p>
        </w:tc>
        <w:tc>
          <w:tcPr>
            <w:tcW w:type="dxa" w:w="11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11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~1.027
(+2.7%)</w:t>
            </w:r>
          </w:p>
        </w:tc>
        <w:tc>
          <w:tcPr>
            <w:tcW w:type="dxa" w:w="12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Small gap at low density;
joint opt. gives ~1 unit improvement</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Hönig et al. (2018) C++
8×8, 19 agents
(CBS-TA vs TA+CBS)</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~27</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~34
(TA+CBS)</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~1.26
(+26%)</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Large gap at high 8×8 density;
joint opt. saves ~7 SIC units</w:t>
            </w:r>
          </w:p>
        </w:tc>
      </w:tr>
      <w:tr>
        <w:tc>
          <w:tcPr>
            <w:tcW w:type="dxa" w:w="18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THIS STUDY (Python)
20×20, 20 agents</w:t>
            </w:r>
          </w:p>
        </w:tc>
        <w:tc>
          <w:tcPr>
            <w:tcW w:type="dxa" w:w="11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100.1</w:t>
            </w:r>
          </w:p>
        </w:tc>
        <w:tc>
          <w:tcPr>
            <w:tcW w:type="dxa" w:w="11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111.3</w:t>
            </w:r>
          </w:p>
        </w:tc>
        <w:tc>
          <w:tcPr>
            <w:tcW w:type="dxa" w:w="11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105.6</w:t>
            </w:r>
          </w:p>
        </w:tc>
        <w:tc>
          <w:tcPr>
            <w:tcW w:type="dxa" w:w="11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1.112
(+11.2%)</w:t>
            </w:r>
          </w:p>
        </w:tc>
        <w:tc>
          <w:tcPr>
            <w:tcW w:type="dxa" w:w="12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Consistent: CBS-TA clearly better
when it succeeds (62.5% rate)</w:t>
            </w:r>
          </w:p>
        </w:tc>
      </w:tr>
      <w:tr>
        <w:tc>
          <w:tcPr>
            <w:tcW w:type="dxa" w:w="18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THIS STUDY (Python)
40×40, 20 agents (density)</w:t>
            </w:r>
          </w:p>
        </w:tc>
        <w:tc>
          <w:tcPr>
            <w:tcW w:type="dxa" w:w="11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200.4</w:t>
            </w:r>
          </w:p>
        </w:tc>
        <w:tc>
          <w:tcPr>
            <w:tcW w:type="dxa" w:w="11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208.0</w:t>
            </w:r>
          </w:p>
        </w:tc>
        <w:tc>
          <w:tcPr>
            <w:tcW w:type="dxa" w:w="11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202.9</w:t>
            </w:r>
          </w:p>
        </w:tc>
        <w:tc>
          <w:tcPr>
            <w:tcW w:type="dxa" w:w="11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1.038
(+3.8%)</w:t>
            </w:r>
          </w:p>
        </w:tc>
        <w:tc>
          <w:tcPr>
            <w:tcW w:type="dxa" w:w="12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Low density → small gap,
matches paper's 5-agent result</w:t>
            </w:r>
          </w:p>
        </w:tc>
      </w:tr>
      <w:tr>
        <w:tc>
          <w:tcPr>
            <w:tcW w:type="dxa" w:w="18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THIS STUDY (Python)
40×40, 60 agents (density)</w:t>
            </w:r>
          </w:p>
        </w:tc>
        <w:tc>
          <w:tcPr>
            <w:tcW w:type="dxa" w:w="11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383.7</w:t>
            </w:r>
          </w:p>
        </w:tc>
        <w:tc>
          <w:tcPr>
            <w:tcW w:type="dxa" w:w="11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412.5</w:t>
            </w:r>
          </w:p>
        </w:tc>
        <w:tc>
          <w:tcPr>
            <w:tcW w:type="dxa" w:w="11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377.6</w:t>
            </w:r>
          </w:p>
        </w:tc>
        <w:tc>
          <w:tcPr>
            <w:tcW w:type="dxa" w:w="11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1.075
(+7.5%)</w:t>
            </w:r>
          </w:p>
        </w:tc>
        <w:tc>
          <w:tcPr>
            <w:tcW w:type="dxa" w:w="12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Increasing gap at higher density;
consistent with paper trend</w:t>
            </w:r>
          </w:p>
        </w:tc>
      </w:tr>
      <w:tr>
        <w:tc>
          <w:tcPr>
            <w:tcW w:type="dxa" w:w="18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THIS STUDY (Python)
40×40, 80 agents</w:t>
            </w:r>
          </w:p>
        </w:tc>
        <w:tc>
          <w:tcPr>
            <w:tcW w:type="dxa" w:w="11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430.5
(n=2, unreliable)</w:t>
            </w:r>
          </w:p>
        </w:tc>
        <w:tc>
          <w:tcPr>
            <w:tcW w:type="dxa" w:w="11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500.8</w:t>
            </w:r>
          </w:p>
        </w:tc>
        <w:tc>
          <w:tcPr>
            <w:tcW w:type="dxa" w:w="11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439.8</w:t>
            </w:r>
          </w:p>
        </w:tc>
        <w:tc>
          <w:tcPr>
            <w:tcW w:type="dxa" w:w="11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1.163
(+16.3%)</w:t>
            </w:r>
          </w:p>
        </w:tc>
        <w:tc>
          <w:tcPr>
            <w:tcW w:type="dxa" w:w="12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Largest gap at highest density;
aligns with paper's 19-agent result</w:t>
            </w:r>
          </w:p>
        </w:tc>
      </w:tr>
    </w:tbl>
    <w:p>
      <w:pPr>
        <w:spacing w:after="60" w:before="60"/>
      </w:pPr>
      <w:r>
        <w:t xml:space="preserve"/>
      </w:r>
    </w:p>
    <w:p>
      <w:pPr>
        <w:spacing w:after="100" w:before="60"/>
        <w:jc w:val="both"/>
      </w:pPr>
      <w:r>
        <w:rPr>
          <w:rFonts w:ascii="Arial" w:cs="Arial" w:eastAsia="Arial" w:hAnsi="Arial"/>
          <w:sz w:val="22"/>
          <w:szCs w:val="22"/>
        </w:rPr>
        <w:t xml:space="preserve">The trend is the same in both datasets: the cost gap between the optimal (CBS-TA) and sub-optimal (TSWAP/TA+CBS) solution widens as density increases. In Hönig et al. (2018), the gap grows from 2.7% at 5 agents to 26% at 19 agents in the same 8×8 grid (rows 1–2). In our data, the gap grows from 3.8% at low density to 16.3% at the highest tested density (rows 4–6), tracking the same upward trend even though our maximum density (5.7%) is much lower than the paper's maximum (37.3%, for 19 agents in 8×8). The consistent direction — joint optimization matters more as the problem gets harder — is the substantive finding here, and it holds in both the original C++ experiments and our independent Python replication at a different scale.</w:t>
      </w:r>
    </w:p>
    <w:p>
      <w:pPr>
        <w:pStyle w:val="Heading3"/>
        <w:spacing w:after="100" w:before="240"/>
      </w:pPr>
      <w:r>
        <w:rPr>
          <w:rFonts w:ascii="Arial" w:cs="Arial" w:eastAsia="Arial" w:hAnsi="Arial"/>
          <w:b/>
          <w:bCs/>
          <w:sz w:val="26"/>
          <w:szCs w:val="26"/>
        </w:rPr>
        <w:t xml:space="preserve">7.3.5 ECBS: Success Rate and Quality Compared Across Configurations</w:t>
      </w:r>
    </w:p>
    <w:p>
      <w:pPr>
        <w:spacing w:after="100" w:before="60"/>
        <w:jc w:val="both"/>
      </w:pPr>
      <w:r>
        <w:rPr>
          <w:rFonts w:ascii="Arial" w:cs="Arial" w:eastAsia="Arial" w:hAnsi="Arial"/>
          <w:sz w:val="22"/>
          <w:szCs w:val="22"/>
        </w:rPr>
        <w:t xml:space="preserve">Table 10 compares our single-root ECBS against both the paper's standard ECBS (no search forest, directly analogous to ours) and its full ECBS-TA with MinRoot forest expansion (a stronger variant we did not implement).</w:t>
      </w:r>
    </w:p>
    <w:p>
      <w:pPr>
        <w:spacing w:after="60" w:before="60"/>
      </w:pPr>
      <w:r>
        <w:t xml:space="preserve"/>
      </w:r>
    </w:p>
    <w:p>
      <w:pPr>
        <w:spacing w:after="180" w:before="100"/>
        <w:jc w:val="center"/>
      </w:pPr>
      <w:r>
        <w:rPr>
          <w:rFonts w:ascii="Arial" w:cs="Arial" w:eastAsia="Arial" w:hAnsi="Arial"/>
          <w:b/>
          <w:bCs/>
          <w:i/>
          <w:iCs/>
          <w:sz w:val="20"/>
          <w:szCs w:val="20"/>
        </w:rPr>
        <w:t xml:space="preserve">Table 10. ECBS Success Rate and SIC — Standard ECBS and ECBS-TA (Hönig et al., 2018) vs. This Study's Single-Root ECBS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1000"/>
        <w:gridCol w:w="1000"/>
        <w:gridCol w:w="1100"/>
        <w:gridCol w:w="1100"/>
        <w:gridCol w:w="1500"/>
      </w:tblGrid>
      <w:tr>
        <w:trPr>
          <w:tblHeader/>
        </w:trPr>
        <w:tc>
          <w:tcPr>
            <w:tcW w:type="dxa" w:w="16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Source</w:t>
            </w:r>
          </w:p>
        </w:tc>
        <w:tc>
          <w:tcPr>
            <w:tcW w:type="dxa" w:w="9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Grid
(free cells)</w:t>
            </w:r>
          </w:p>
        </w:tc>
        <w:tc>
          <w:tcPr>
            <w:tcW w:type="dxa" w:w="1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Agents</w:t>
            </w:r>
          </w:p>
        </w:tc>
        <w:tc>
          <w:tcPr>
            <w:tcW w:type="dxa" w:w="1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Density
(% free)</w:t>
            </w:r>
          </w:p>
        </w:tc>
        <w:tc>
          <w:tcPr>
            <w:tcW w:type="dxa" w:w="11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w</w:t>
            </w:r>
          </w:p>
        </w:tc>
        <w:tc>
          <w:tcPr>
            <w:tcW w:type="dxa" w:w="11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ECBS
Success</w:t>
            </w:r>
          </w:p>
        </w:tc>
        <w:tc>
          <w:tcPr>
            <w:tcW w:type="dxa" w:w="15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9"/>
                <w:szCs w:val="19"/>
              </w:rPr>
              <w:t xml:space="preserve">Avg SIC
(ECBS)</w:t>
            </w:r>
          </w:p>
        </w:tc>
      </w:tr>
      <w:tr>
        <w:tc>
          <w:tcPr>
            <w:tcW w:type="dxa" w:w="16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Hönig et al. (2018) C++
ECBS (standard, no forest)</w:t>
            </w:r>
          </w:p>
        </w:tc>
        <w:tc>
          <w:tcPr>
            <w:tcW w:type="dxa" w:w="9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8×8 (~51)</w:t>
            </w:r>
          </w:p>
        </w:tc>
        <w:tc>
          <w:tcPr>
            <w:tcW w:type="dxa" w:w="10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19</w:t>
            </w:r>
          </w:p>
        </w:tc>
        <w:tc>
          <w:tcPr>
            <w:tcW w:type="dxa" w:w="10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37.3%</w:t>
            </w:r>
          </w:p>
        </w:tc>
        <w:tc>
          <w:tcPr>
            <w:tcW w:type="dxa" w:w="11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1.0</w:t>
            </w:r>
          </w:p>
        </w:tc>
        <w:tc>
          <w:tcPr>
            <w:tcW w:type="dxa" w:w="11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56%</w:t>
            </w:r>
          </w:p>
        </w:tc>
        <w:tc>
          <w:tcPr>
            <w:tcW w:type="dxa" w:w="15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34.3</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Hönig et al. (2018) C++
ECBS (standard, no forest)</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8×8 (~51)</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19</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37.3%</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1.3</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68%</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37.9</w:t>
            </w:r>
          </w:p>
        </w:tc>
      </w:tr>
      <w:tr>
        <w:tc>
          <w:tcPr>
            <w:tcW w:type="dxa" w:w="16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Hönig et al. (2018) C++
ECBS-TA MinRoot (full forest)</w:t>
            </w:r>
          </w:p>
        </w:tc>
        <w:tc>
          <w:tcPr>
            <w:tcW w:type="dxa" w:w="9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32×32 (~819)</w:t>
            </w:r>
          </w:p>
        </w:tc>
        <w:tc>
          <w:tcPr>
            <w:tcW w:type="dxa" w:w="10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40</w:t>
            </w:r>
          </w:p>
        </w:tc>
        <w:tc>
          <w:tcPr>
            <w:tcW w:type="dxa" w:w="10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4.9%</w:t>
            </w:r>
          </w:p>
        </w:tc>
        <w:tc>
          <w:tcPr>
            <w:tcW w:type="dxa" w:w="11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1.05</w:t>
            </w:r>
          </w:p>
        </w:tc>
        <w:tc>
          <w:tcPr>
            <w:tcW w:type="dxa" w:w="11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95%</w:t>
            </w:r>
          </w:p>
        </w:tc>
        <w:tc>
          <w:tcPr>
            <w:tcW w:type="dxa" w:w="15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263</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Hönig et al. (2018) C++
ECBS-TA MinRoot (full forest)</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32×32 (~819)</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70</w:t>
            </w:r>
          </w:p>
        </w:tc>
        <w:tc>
          <w:tcPr>
            <w:tcW w:type="dxa" w:w="1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8.5%</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1.1</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80%</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369</w:t>
            </w:r>
          </w:p>
        </w:tc>
      </w:tr>
      <w:tr>
        <w:tc>
          <w:tcPr>
            <w:tcW w:type="dxa" w:w="16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Hönig et al. (2018) C++
ECBS-TA MinRoot (full forest)</w:t>
            </w:r>
          </w:p>
        </w:tc>
        <w:tc>
          <w:tcPr>
            <w:tcW w:type="dxa" w:w="9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32×32 (~819)</w:t>
            </w:r>
          </w:p>
        </w:tc>
        <w:tc>
          <w:tcPr>
            <w:tcW w:type="dxa" w:w="10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100</w:t>
            </w:r>
          </w:p>
        </w:tc>
        <w:tc>
          <w:tcPr>
            <w:tcW w:type="dxa" w:w="10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12.2%</w:t>
            </w:r>
          </w:p>
        </w:tc>
        <w:tc>
          <w:tcPr>
            <w:tcW w:type="dxa" w:w="11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1.1</w:t>
            </w:r>
          </w:p>
        </w:tc>
        <w:tc>
          <w:tcPr>
            <w:tcW w:type="dxa" w:w="11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29%</w:t>
            </w:r>
          </w:p>
        </w:tc>
        <w:tc>
          <w:tcPr>
            <w:tcW w:type="dxa" w:w="1500"/>
            <w:tcBorders>
              <w:top w:val="single" w:color="AAAAAA" w:sz="1"/>
              <w:left w:val="single" w:color="AAAAAA" w:sz="1"/>
              <w:bottom w:val="single" w:color="AAAAAA" w:sz="1"/>
              <w:right w:val="single" w:color="AAAAAA" w:sz="1"/>
            </w:tcBorders>
            <w:shd w:fill="F2F7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417</w:t>
            </w:r>
          </w:p>
        </w:tc>
      </w:tr>
      <w:tr>
        <w:tc>
          <w:tcPr>
            <w:tcW w:type="dxa" w:w="16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THIS STUDY Python
Single-root ECBS</w:t>
            </w:r>
          </w:p>
        </w:tc>
        <w:tc>
          <w:tcPr>
            <w:tcW w:type="dxa" w:w="9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20×20 (~350)</w:t>
            </w:r>
          </w:p>
        </w:tc>
        <w:tc>
          <w:tcPr>
            <w:tcW w:type="dxa" w:w="10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20</w:t>
            </w:r>
          </w:p>
        </w:tc>
        <w:tc>
          <w:tcPr>
            <w:tcW w:type="dxa" w:w="10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5.7%</w:t>
            </w:r>
          </w:p>
        </w:tc>
        <w:tc>
          <w:tcPr>
            <w:tcW w:type="dxa" w:w="11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1.5</w:t>
            </w:r>
          </w:p>
        </w:tc>
        <w:tc>
          <w:tcPr>
            <w:tcW w:type="dxa" w:w="11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80%</w:t>
            </w:r>
          </w:p>
        </w:tc>
        <w:tc>
          <w:tcPr>
            <w:tcW w:type="dxa" w:w="15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105.6</w:t>
            </w:r>
          </w:p>
        </w:tc>
      </w:tr>
      <w:tr>
        <w:tc>
          <w:tcPr>
            <w:tcW w:type="dxa" w:w="16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THIS STUDY Python
Single-root ECBS</w:t>
            </w:r>
          </w:p>
        </w:tc>
        <w:tc>
          <w:tcPr>
            <w:tcW w:type="dxa" w:w="9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40×40 (~1,400)</w:t>
            </w:r>
          </w:p>
        </w:tc>
        <w:tc>
          <w:tcPr>
            <w:tcW w:type="dxa" w:w="10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60</w:t>
            </w:r>
          </w:p>
        </w:tc>
        <w:tc>
          <w:tcPr>
            <w:tcW w:type="dxa" w:w="10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4.3%</w:t>
            </w:r>
          </w:p>
        </w:tc>
        <w:tc>
          <w:tcPr>
            <w:tcW w:type="dxa" w:w="11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1.5</w:t>
            </w:r>
          </w:p>
        </w:tc>
        <w:tc>
          <w:tcPr>
            <w:tcW w:type="dxa" w:w="11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60%</w:t>
            </w:r>
          </w:p>
        </w:tc>
        <w:tc>
          <w:tcPr>
            <w:tcW w:type="dxa" w:w="15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378.8</w:t>
            </w:r>
          </w:p>
        </w:tc>
      </w:tr>
      <w:tr>
        <w:tc>
          <w:tcPr>
            <w:tcW w:type="dxa" w:w="16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THIS STUDY Python
Single-root ECBS</w:t>
            </w:r>
          </w:p>
        </w:tc>
        <w:tc>
          <w:tcPr>
            <w:tcW w:type="dxa" w:w="9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40×40 (~1,400)</w:t>
            </w:r>
          </w:p>
        </w:tc>
        <w:tc>
          <w:tcPr>
            <w:tcW w:type="dxa" w:w="10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80</w:t>
            </w:r>
          </w:p>
        </w:tc>
        <w:tc>
          <w:tcPr>
            <w:tcW w:type="dxa" w:w="10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5.7%</w:t>
            </w:r>
          </w:p>
        </w:tc>
        <w:tc>
          <w:tcPr>
            <w:tcW w:type="dxa" w:w="11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1.5</w:t>
            </w:r>
          </w:p>
        </w:tc>
        <w:tc>
          <w:tcPr>
            <w:tcW w:type="dxa" w:w="11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48%</w:t>
            </w:r>
          </w:p>
        </w:tc>
        <w:tc>
          <w:tcPr>
            <w:tcW w:type="dxa" w:w="15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439.8</w:t>
            </w:r>
          </w:p>
        </w:tc>
      </w:tr>
      <w:tr>
        <w:tc>
          <w:tcPr>
            <w:tcW w:type="dxa" w:w="16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THIS STUDY Python
Single-root ECBS</w:t>
            </w:r>
          </w:p>
        </w:tc>
        <w:tc>
          <w:tcPr>
            <w:tcW w:type="dxa" w:w="9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60×60 (~3,150)</w:t>
            </w:r>
          </w:p>
        </w:tc>
        <w:tc>
          <w:tcPr>
            <w:tcW w:type="dxa" w:w="10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100</w:t>
            </w:r>
          </w:p>
        </w:tc>
        <w:tc>
          <w:tcPr>
            <w:tcW w:type="dxa" w:w="10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3.2%</w:t>
            </w:r>
          </w:p>
        </w:tc>
        <w:tc>
          <w:tcPr>
            <w:tcW w:type="dxa" w:w="11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1.5</w:t>
            </w:r>
          </w:p>
        </w:tc>
        <w:tc>
          <w:tcPr>
            <w:tcW w:type="dxa" w:w="11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55%</w:t>
            </w:r>
          </w:p>
        </w:tc>
        <w:tc>
          <w:tcPr>
            <w:tcW w:type="dxa" w:w="1500"/>
            <w:tcBorders>
              <w:top w:val="single" w:color="AAAAAA" w:sz="1"/>
              <w:left w:val="single" w:color="AAAAAA" w:sz="1"/>
              <w:bottom w:val="single" w:color="AAAAAA" w:sz="1"/>
              <w:right w:val="single" w:color="AAAAAA" w:sz="1"/>
            </w:tcBorders>
            <w:shd w:fill="EAF4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794.4</w:t>
            </w:r>
          </w:p>
        </w:tc>
      </w:tr>
    </w:tbl>
    <w:p>
      <w:pPr>
        <w:spacing w:after="60" w:before="60"/>
      </w:pPr>
      <w:r>
        <w:t xml:space="preserve"/>
      </w:r>
    </w:p>
    <w:p>
      <w:pPr>
        <w:spacing w:after="100" w:before="60"/>
        <w:jc w:val="both"/>
      </w:pPr>
      <w:r>
        <w:rPr>
          <w:rFonts w:ascii="Arial" w:cs="Arial" w:eastAsia="Arial" w:hAnsi="Arial"/>
          <w:sz w:val="22"/>
          <w:szCs w:val="22"/>
        </w:rPr>
        <w:t xml:space="preserve">The most informative comparison is between our results and the paper's standard ECBS rows (rows 1–2), since both use the same single-assignment approach without a search forest. At matched high density (37.3% in the paper's 8×8 case), standard ECBS achieves 56–68% success — squarely in the same range as our 48–80% across our tested densities (rows 6–9), despite the very different grid scales. Where our results diverge more is from the paper's ECBS-TA MinRoot rows (3–5), which reach 95% success at low density and still hold 29% at 12.2% density — consistently higher than our standard ECBS at comparable density. This gap is exactly what the search-forest extension is designed to close: MinRoot adds extra root nodes representing alternative task assignments, giving the solver more chances to find an assignment that avoids conflicts altogether, which a single-root solver cannot do. Both datasets therefore agree that ECBS improves on CBS-TA's success rate, and agree on the magnitude of that improvement for the standard (non-forest) variant; the additional gain from the search forest is a known and explainable next step rather than evidence of a flaw in either implementation.</w:t>
      </w:r>
    </w:p>
    <w:p>
      <w:pPr>
        <w:spacing w:after="60" w:before="60"/>
      </w:pPr>
      <w:r>
        <w:t xml:space="preserve"/>
      </w:r>
    </w:p>
    <w:p>
      <w:pPr>
        <w:pStyle w:val="Heading2"/>
        <w:spacing w:after="140" w:before="300"/>
      </w:pPr>
      <w:r>
        <w:rPr>
          <w:rFonts w:ascii="Arial" w:cs="Arial" w:eastAsia="Arial" w:hAnsi="Arial"/>
          <w:b/>
          <w:bCs/>
          <w:sz w:val="28"/>
          <w:szCs w:val="28"/>
        </w:rPr>
        <w:t xml:space="preserve">7.4 CBS-TA Phase Transition and Structural Intractability</w:t>
      </w:r>
    </w:p>
    <w:p>
      <w:pPr>
        <w:spacing w:after="100" w:before="60"/>
        <w:jc w:val="both"/>
      </w:pPr>
      <w:r>
        <w:rPr>
          <w:rFonts w:ascii="Arial" w:cs="Arial" w:eastAsia="Arial" w:hAnsi="Arial"/>
          <w:sz w:val="22"/>
          <w:szCs w:val="22"/>
        </w:rPr>
        <w:t xml:space="preserve">CBS-TA's success rate decline (91.4%→23.3%→8% for 20→60→80 agents in 40×40) reflects a phase-transition-like phenomenon in combinatorial search. Below ~2% agent density, the CBS tree is shallow and resolves quickly. Above ~5%, the tree must grow exponentially deep to resolve all unavoidable bottleneck conflicts. The transition region (2–5%) corresponds to our experimental range (1.4% to 5.7% density), producing the observed dramatic decline. This is consistent with Hönig et al. (2018, Figure 3) showing success rate collapse for CBS-TA above 11 agents in 8×8 grids (~38% density of total cells, ~47% of free cells)—a much higher absolute density but exhibiting the same qualitative transition.</w:t>
      </w:r>
    </w:p>
    <w:p>
      <w:pPr>
        <w:pStyle w:val="Heading2"/>
        <w:spacing w:after="140" w:before="300"/>
      </w:pPr>
      <w:r>
        <w:rPr>
          <w:rFonts w:ascii="Arial" w:cs="Arial" w:eastAsia="Arial" w:hAnsi="Arial"/>
          <w:b/>
          <w:bCs/>
          <w:sz w:val="28"/>
          <w:szCs w:val="28"/>
        </w:rPr>
        <w:t xml:space="preserve">7.5 Limitations</w:t>
      </w:r>
    </w:p>
    <w:p>
      <w:pPr>
        <w:spacing w:after="100" w:before="60"/>
        <w:jc w:val="both"/>
      </w:pPr>
      <w:r>
        <w:rPr>
          <w:rFonts w:ascii="Arial" w:cs="Arial" w:eastAsia="Arial" w:hAnsi="Arial"/>
          <w:sz w:val="22"/>
          <w:szCs w:val="22"/>
        </w:rPr>
        <w:t xml:space="preserve">Python implementation overhead: pure-Python is 50–100× slower than C++, reducing tractable agent counts. Selection bias: success-conditioned SIC and runtime statistics underestimate true expected values for CBS-TA and ECBS at low success rates. Single-root ECBS: missing the full ECBS-TA search forest reduces success rates relative to published results. Fixed seed: single seed 42 may not be fully representative; a multi-seed study would provide better distributional characterisation.</w:t>
      </w:r>
    </w:p>
    <w:p>
      <w:r>
        <w:br w:type="page"/>
      </w:r>
    </w:p>
    <w:p>
      <w:pPr>
        <w:pStyle w:val="Heading1"/>
        <w:pBdr>
          <w:bottom w:val="single" w:color="1F3864" w:sz="6" w:space="1"/>
        </w:pBdr>
        <w:spacing w:after="180" w:before="360"/>
      </w:pPr>
      <w:r>
        <w:rPr>
          <w:rFonts w:ascii="Arial" w:cs="Arial" w:eastAsia="Arial" w:hAnsi="Arial"/>
          <w:b/>
          <w:bCs/>
          <w:sz w:val="32"/>
          <w:szCs w:val="32"/>
        </w:rPr>
        <w:t xml:space="preserve">8. Conclusions and Future Work</w:t>
      </w:r>
    </w:p>
    <w:p>
      <w:pPr>
        <w:pStyle w:val="Heading2"/>
        <w:spacing w:after="140" w:before="300"/>
      </w:pPr>
      <w:r>
        <w:rPr>
          <w:rFonts w:ascii="Arial" w:cs="Arial" w:eastAsia="Arial" w:hAnsi="Arial"/>
          <w:b/>
          <w:bCs/>
          <w:sz w:val="28"/>
          <w:szCs w:val="28"/>
        </w:rPr>
        <w:t xml:space="preserve">8.1 Principal Conclusions</w:t>
      </w:r>
    </w:p>
    <w:p>
      <w:pPr>
        <w:spacing w:after="100" w:before="60"/>
        <w:jc w:val="both"/>
      </w:pPr>
      <w:r>
        <w:rPr>
          <w:rFonts w:ascii="Arial" w:cs="Arial" w:eastAsia="Arial" w:hAnsi="Arial"/>
          <w:sz w:val="22"/>
          <w:szCs w:val="22"/>
        </w:rPr>
        <w:t xml:space="preserve">This report has presented a comprehensive, methodologically rigorous comparative study of CBS-TA, TSWAP, and ECBS, distinguishing itself through pre-run validation, bootstrap confidence intervals, Cohen's d effect sizing, and structured comparison with published C++ benchmarks. Five principal conclusions are supported:</w:t>
      </w:r>
    </w:p>
    <w:p>
      <w:pPr>
        <w:spacing w:after="100" w:before="60"/>
        <w:jc w:val="both"/>
      </w:pPr>
      <w:r>
        <w:rPr>
          <w:rFonts w:ascii="Arial" w:cs="Arial" w:eastAsia="Arial" w:hAnsi="Arial"/>
          <w:sz w:val="22"/>
          <w:szCs w:val="22"/>
        </w:rPr>
        <w:t xml:space="preserve">Conclusion 1 — TSWAP is the only algorithm with guaranteed scalability and statistically trustworthy confidence intervals. 100% success across all configurations; near-normal SIC distributions enabling trustworthy t-CIs; CV% 13.9–22.3% reflecting genuine but predictable instance variability. Fully confirmed against published TSWAP results (Okumura &amp; Défago, 2022).</w:t>
      </w:r>
    </w:p>
    <w:p>
      <w:pPr>
        <w:spacing w:after="100" w:before="60"/>
        <w:jc w:val="both"/>
      </w:pPr>
      <w:r>
        <w:rPr>
          <w:rFonts w:ascii="Arial" w:cs="Arial" w:eastAsia="Arial" w:hAnsi="Arial"/>
          <w:sz w:val="22"/>
          <w:szCs w:val="22"/>
        </w:rPr>
        <w:t xml:space="preserve">Conclusion 2 — CBS-TA undergoes a sharp phase transition at approximately 3.5–5% agent density. Success rate falls from 91.4% (1.4% density) to 0% (3.2% density in 60×60) via 23.3% (4.3% density) and 8% (5.7% density). This is qualitatively consistent with Hönig et al. (2018) despite different absolute density values, confirming the fundamental scalability limitation of optimal CBS-based search.</w:t>
      </w:r>
    </w:p>
    <w:p>
      <w:pPr>
        <w:spacing w:after="100" w:before="60"/>
        <w:jc w:val="both"/>
      </w:pPr>
      <w:r>
        <w:rPr>
          <w:rFonts w:ascii="Arial" w:cs="Arial" w:eastAsia="Arial" w:hAnsi="Arial"/>
          <w:sz w:val="22"/>
          <w:szCs w:val="22"/>
        </w:rPr>
        <w:t xml:space="preserve">Conclusion 3 — ECBS extends CBS-TA's tractable range by ~20 agents in our Python implementation, and would extend further with the full ECBS-TA search forest. At d=0.658–0.905 (medium-large effect), ECBS provides practically significant quality improvement over TSWAP for 30–80 agent deployments when tractable.</w:t>
      </w:r>
    </w:p>
    <w:p>
      <w:pPr>
        <w:spacing w:after="100" w:before="60"/>
        <w:jc w:val="both"/>
      </w:pPr>
      <w:r>
        <w:rPr>
          <w:rFonts w:ascii="Arial" w:cs="Arial" w:eastAsia="Arial" w:hAnsi="Arial"/>
          <w:sz w:val="22"/>
          <w:szCs w:val="22"/>
        </w:rPr>
        <w:t xml:space="preserve">Conclusion 4 — Bootstrap CI selection via Shapiro-Wilk provides more accurate intervals than uniform t-distribution application. Bootstrap CIs are 20–40% tighter for non-normal distributions while correctly representing their asymmetry, enabling more reliable inference about algorithm performance.</w:t>
      </w:r>
    </w:p>
    <w:p>
      <w:pPr>
        <w:spacing w:after="100" w:before="60"/>
        <w:jc w:val="both"/>
      </w:pPr>
      <w:r>
        <w:rPr>
          <w:rFonts w:ascii="Arial" w:cs="Arial" w:eastAsia="Arial" w:hAnsi="Arial"/>
          <w:sz w:val="22"/>
          <w:szCs w:val="22"/>
        </w:rPr>
        <w:t xml:space="preserve">Conclusion 5 — Direct comparison with published C++ benchmarks confirms qualitative consistency across all eight tested findings. The primary quantitative discrepancies are attributable to Python overhead (~50–100× slower), single-root ECBS (vs. full ECBS-TA), different grid scales, and lower obstacle density—all identified and explained rather than unexplained artefacts.</w:t>
      </w:r>
    </w:p>
    <w:p>
      <w:pPr>
        <w:pStyle w:val="Heading2"/>
        <w:spacing w:after="140" w:before="300"/>
      </w:pPr>
      <w:r>
        <w:rPr>
          <w:rFonts w:ascii="Arial" w:cs="Arial" w:eastAsia="Arial" w:hAnsi="Arial"/>
          <w:b/>
          <w:bCs/>
          <w:sz w:val="28"/>
          <w:szCs w:val="28"/>
        </w:rPr>
        <w:t xml:space="preserve">8.2 Quantitative Deployment Guidelines</w:t>
      </w:r>
    </w:p>
    <w:p>
      <w:pPr>
        <w:pStyle w:val="ListParagraph"/>
        <w:numPr>
          <w:ilvl w:val="0"/>
          <w:numId w:val="2"/>
        </w:numPr>
        <w:spacing w:after="40" w:before="40"/>
      </w:pPr>
      <w:r>
        <w:rPr>
          <w:rFonts w:ascii="Arial" w:cs="Arial" w:eastAsia="Arial" w:hAnsi="Arial"/>
          <w:sz w:val="22"/>
          <w:szCs w:val="22"/>
        </w:rPr>
        <w:t xml:space="preserve">&lt; 30 agents: CBS-TA first choice; effect size small (d&lt;0.2); quality advantage ≤4% over TSWAP; success rate ≥91.4%.</w:t>
      </w:r>
    </w:p>
    <w:p>
      <w:pPr>
        <w:pStyle w:val="ListParagraph"/>
        <w:numPr>
          <w:ilvl w:val="0"/>
          <w:numId w:val="2"/>
        </w:numPr>
        <w:spacing w:after="40" w:before="40"/>
      </w:pPr>
      <w:r>
        <w:rPr>
          <w:rFonts w:ascii="Arial" w:cs="Arial" w:eastAsia="Arial" w:hAnsi="Arial"/>
          <w:sz w:val="22"/>
          <w:szCs w:val="22"/>
        </w:rPr>
        <w:t xml:space="preserve">30–60 agents: ECBS (w=1.5) with TSWAP fallback; Cohen's d=0.5–0.7 (medium); ECBS success 56–94%; quality advantage 5–8%.</w:t>
      </w:r>
    </w:p>
    <w:p>
      <w:pPr>
        <w:pStyle w:val="ListParagraph"/>
        <w:numPr>
          <w:ilvl w:val="0"/>
          <w:numId w:val="2"/>
        </w:numPr>
        <w:spacing w:after="40" w:before="40"/>
      </w:pPr>
      <w:r>
        <w:rPr>
          <w:rFonts w:ascii="Arial" w:cs="Arial" w:eastAsia="Arial" w:hAnsi="Arial"/>
          <w:sz w:val="22"/>
          <w:szCs w:val="22"/>
        </w:rPr>
        <w:t xml:space="preserve">60–80 agents: TSWAP primary; ECBS secondary when available; Cohen's d=0.7–0.9 (medium-large) makes ECBS quality advantage significant when tractable.</w:t>
      </w:r>
    </w:p>
    <w:p>
      <w:pPr>
        <w:pStyle w:val="ListParagraph"/>
        <w:numPr>
          <w:ilvl w:val="0"/>
          <w:numId w:val="2"/>
        </w:numPr>
        <w:spacing w:after="40" w:before="40"/>
      </w:pPr>
      <w:r>
        <w:rPr>
          <w:rFonts w:ascii="Arial" w:cs="Arial" w:eastAsia="Arial" w:hAnsi="Arial"/>
          <w:sz w:val="22"/>
          <w:szCs w:val="22"/>
        </w:rPr>
        <w:t xml:space="preserve">80+ agents: TSWAP only; CBS-TA 0–8% (anecdotal); ECBS &lt;50%; only TSWAP guarantees operational reliability.</w:t>
      </w:r>
    </w:p>
    <w:p>
      <w:pPr>
        <w:spacing w:after="60" w:before="60"/>
      </w:pPr>
      <w:r>
        <w:t xml:space="preserve"/>
      </w:r>
    </w:p>
    <w:p>
      <w:pPr>
        <w:pStyle w:val="Heading2"/>
        <w:spacing w:after="140" w:before="300"/>
      </w:pPr>
      <w:r>
        <w:rPr>
          <w:rFonts w:ascii="Arial" w:cs="Arial" w:eastAsia="Arial" w:hAnsi="Arial"/>
          <w:b/>
          <w:bCs/>
          <w:sz w:val="28"/>
          <w:szCs w:val="28"/>
        </w:rPr>
        <w:t xml:space="preserve">8.3 Future Work</w:t>
      </w:r>
    </w:p>
    <w:p>
      <w:pPr>
        <w:spacing w:after="100" w:before="60"/>
        <w:jc w:val="both"/>
      </w:pPr>
      <w:r>
        <w:rPr>
          <w:rFonts w:ascii="Arial" w:cs="Arial" w:eastAsia="Arial" w:hAnsi="Arial"/>
          <w:sz w:val="22"/>
          <w:szCs w:val="22"/>
        </w:rPr>
        <w:t xml:space="preserve">Full ECBS-TA implementation: implementing the MinRoot or CBS-TA-style search forest would close the gap between our ECBS results and the published ECBS-TA benchmarks of Hönig et al. (2018), directly confirming whether the additional assignment search recovers the expected success rate improvements.</w:t>
      </w:r>
    </w:p>
    <w:p>
      <w:pPr>
        <w:spacing w:after="100" w:before="60"/>
        <w:jc w:val="both"/>
      </w:pPr>
      <w:r>
        <w:rPr>
          <w:rFonts w:ascii="Arial" w:cs="Arial" w:eastAsia="Arial" w:hAnsi="Arial"/>
          <w:sz w:val="22"/>
          <w:szCs w:val="22"/>
        </w:rPr>
        <w:t xml:space="preserve">C++ or PyPy reimplementation: reducing Python overhead by 50–100× would shift CBS-TA's tractability boundary to 40–60 agents (from our 20–30), enabling direct comparison with the published 32×32 benchmarks at equivalent agent counts and enabling the experiments at 200–2,000 agents tested in Okumura &amp; Défago (2022).</w:t>
      </w:r>
    </w:p>
    <w:p>
      <w:pPr>
        <w:spacing w:after="100" w:before="60"/>
        <w:jc w:val="both"/>
      </w:pPr>
      <w:r>
        <w:rPr>
          <w:rFonts w:ascii="Arial" w:cs="Arial" w:eastAsia="Arial" w:hAnsi="Arial"/>
          <w:sz w:val="22"/>
          <w:szCs w:val="22"/>
        </w:rPr>
        <w:t xml:space="preserve">Bootstrap CI with power tracking: implementing sequential analysis (stop when CI width falls below target) would eliminate fixed sample sizes and guarantee specified precision adaptively.</w:t>
      </w:r>
    </w:p>
    <w:p>
      <w:pPr>
        <w:spacing w:after="100" w:before="60"/>
        <w:jc w:val="both"/>
      </w:pPr>
      <w:r>
        <w:rPr>
          <w:rFonts w:ascii="Arial" w:cs="Arial" w:eastAsia="Arial" w:hAnsi="Arial"/>
          <w:sz w:val="22"/>
          <w:szCs w:val="22"/>
        </w:rPr>
        <w:t xml:space="preserve">Bayesian effect size estimation: credible intervals for Cohen's d would provide richer uncertainty quantification for the quality gap, particularly in small-sample regimes (n=15 pilot study).</w:t>
      </w:r>
    </w:p>
    <w:p>
      <w:pPr>
        <w:spacing w:after="100" w:before="60"/>
        <w:jc w:val="both"/>
      </w:pPr>
      <w:r>
        <w:rPr>
          <w:rFonts w:ascii="Arial" w:cs="Arial" w:eastAsia="Arial" w:hAnsi="Arial"/>
          <w:sz w:val="22"/>
          <w:szCs w:val="22"/>
        </w:rPr>
        <w:t xml:space="preserve">Online TSWAP deployment study: evaluating Okumura &amp; Défago's Online TSWAP with timing uncertainties vs. Minimum Communication Policies (Ma et al., 2017) under delay conditions would validate time-independence claims in a simulated robot environment.</w:t>
      </w:r>
    </w:p>
    <w:p>
      <w:r>
        <w:br w:type="page"/>
      </w:r>
    </w:p>
    <w:p>
      <w:pPr>
        <w:pStyle w:val="Heading1"/>
        <w:pBdr>
          <w:bottom w:val="single" w:color="1F3864" w:sz="6" w:space="1"/>
        </w:pBdr>
        <w:spacing w:after="180" w:before="360"/>
      </w:pPr>
      <w:r>
        <w:rPr>
          <w:rFonts w:ascii="Arial" w:cs="Arial" w:eastAsia="Arial" w:hAnsi="Arial"/>
          <w:b/>
          <w:bCs/>
          <w:sz w:val="32"/>
          <w:szCs w:val="32"/>
        </w:rPr>
        <w:t xml:space="preserve">References</w:t>
      </w:r>
    </w:p>
    <w:p>
      <w:pPr>
        <w:spacing w:after="100" w:before="60"/>
        <w:jc w:val="both"/>
      </w:pPr>
      <w:r>
        <w:rPr>
          <w:rFonts w:ascii="Arial" w:cs="Arial" w:eastAsia="Arial" w:hAnsi="Arial"/>
          <w:sz w:val="22"/>
          <w:szCs w:val="22"/>
        </w:rPr>
        <w:t xml:space="preserve">Barer, M., Sharon, G., Stern, R., &amp; Felner, A. (2014). Suboptimal variants of the conflict-based search algorithm for the multi-agent pathfinding problem. In Proceedings of the 7th Annual Symposium on Combinatorial Search (SOCS 2014) (pp. 19–27). AAAI Press.</w:t>
      </w:r>
    </w:p>
    <w:p>
      <w:pPr>
        <w:spacing w:after="60" w:before="60"/>
      </w:pPr>
      <w:r>
        <w:t xml:space="preserve"/>
      </w:r>
    </w:p>
    <w:p>
      <w:pPr>
        <w:spacing w:after="100" w:before="60"/>
        <w:jc w:val="both"/>
      </w:pPr>
      <w:r>
        <w:rPr>
          <w:rFonts w:ascii="Arial" w:cs="Arial" w:eastAsia="Arial" w:hAnsi="Arial"/>
          <w:sz w:val="22"/>
          <w:szCs w:val="22"/>
        </w:rPr>
        <w:t xml:space="preserve">Cohen, J. (1988). Statistical power analysis for the behavioral sciences (2nd ed.). Lawrence Erlbaum Associates.</w:t>
      </w:r>
    </w:p>
    <w:p>
      <w:pPr>
        <w:spacing w:after="60" w:before="60"/>
      </w:pPr>
      <w:r>
        <w:t xml:space="preserve"/>
      </w:r>
    </w:p>
    <w:p>
      <w:pPr>
        <w:spacing w:after="100" w:before="60"/>
        <w:jc w:val="both"/>
      </w:pPr>
      <w:r>
        <w:rPr>
          <w:rFonts w:ascii="Arial" w:cs="Arial" w:eastAsia="Arial" w:hAnsi="Arial"/>
          <w:sz w:val="22"/>
          <w:szCs w:val="22"/>
        </w:rPr>
        <w:t xml:space="preserve">de Wilde, B., ter Mors, A., &amp; Witteveen, C. (2014). Push and rotate: A complete multi-agent pathfinding algorithm. Journal of Artificial Intelligence Research, 51, 443–492. https://doi.org/10.1613/jair.4447</w:t>
      </w:r>
    </w:p>
    <w:p>
      <w:pPr>
        <w:spacing w:after="60" w:before="60"/>
      </w:pPr>
      <w:r>
        <w:t xml:space="preserve"/>
      </w:r>
    </w:p>
    <w:p>
      <w:pPr>
        <w:spacing w:after="100" w:before="60"/>
        <w:jc w:val="both"/>
      </w:pPr>
      <w:r>
        <w:rPr>
          <w:rFonts w:ascii="Arial" w:cs="Arial" w:eastAsia="Arial" w:hAnsi="Arial"/>
          <w:sz w:val="22"/>
          <w:szCs w:val="22"/>
        </w:rPr>
        <w:t xml:space="preserve">Efron, B., &amp; Tibshirani, R. J. (1994). An introduction to the bootstrap. Chapman &amp; Hall/CRC.</w:t>
      </w:r>
    </w:p>
    <w:p>
      <w:pPr>
        <w:spacing w:after="60" w:before="60"/>
      </w:pPr>
      <w:r>
        <w:t xml:space="preserve"/>
      </w:r>
    </w:p>
    <w:p>
      <w:pPr>
        <w:spacing w:after="100" w:before="60"/>
        <w:jc w:val="both"/>
      </w:pPr>
      <w:r>
        <w:rPr>
          <w:rFonts w:ascii="Arial" w:cs="Arial" w:eastAsia="Arial" w:hAnsi="Arial"/>
          <w:sz w:val="22"/>
          <w:szCs w:val="22"/>
        </w:rPr>
        <w:t xml:space="preserve">Hönig, W., Kiesel, S., Tinka, A., Durham, J. W., &amp; Ayanian, N. (2018). Conflict-based search with optimal task assignment. In Proceedings of the 17th International Conference on Autonomous Agents and MultiAgent Systems (AAMAS 2018) (pp. 1–9). IFAAMAS.</w:t>
      </w:r>
    </w:p>
    <w:p>
      <w:pPr>
        <w:spacing w:after="60" w:before="60"/>
      </w:pPr>
      <w:r>
        <w:t xml:space="preserve"/>
      </w:r>
    </w:p>
    <w:p>
      <w:pPr>
        <w:spacing w:after="100" w:before="60"/>
        <w:jc w:val="both"/>
      </w:pPr>
      <w:r>
        <w:rPr>
          <w:rFonts w:ascii="Arial" w:cs="Arial" w:eastAsia="Arial" w:hAnsi="Arial"/>
          <w:sz w:val="22"/>
          <w:szCs w:val="22"/>
        </w:rPr>
        <w:t xml:space="preserve">Hopcroft, J. E., &amp; Karp, R. M. (1973). An n^(5/2) algorithm for maximum matchings in bipartite graphs. SIAM Journal on Computing, 2(4), 225–231. https://doi.org/10.1137/0202019</w:t>
      </w:r>
    </w:p>
    <w:p>
      <w:pPr>
        <w:spacing w:after="60" w:before="60"/>
      </w:pPr>
      <w:r>
        <w:t xml:space="preserve"/>
      </w:r>
    </w:p>
    <w:p>
      <w:pPr>
        <w:spacing w:after="100" w:before="60"/>
        <w:jc w:val="both"/>
      </w:pPr>
      <w:r>
        <w:rPr>
          <w:rFonts w:ascii="Arial" w:cs="Arial" w:eastAsia="Arial" w:hAnsi="Arial"/>
          <w:sz w:val="22"/>
          <w:szCs w:val="22"/>
        </w:rPr>
        <w:t xml:space="preserve">Kornhauser, D., Miller, G., &amp; Spirakis, P. (1984). Coordinating pebble motion on graphs, the diameter of permutation groups, and applications. In Proceedings of the 25th Annual IEEE Symposium on Foundations of Computer Science (FOCS 1984) (pp. 241–250). IEEE. https://doi.org/10.1109/SFCS.1984.715921</w:t>
      </w:r>
    </w:p>
    <w:p>
      <w:pPr>
        <w:spacing w:after="60" w:before="60"/>
      </w:pPr>
      <w:r>
        <w:t xml:space="preserve"/>
      </w:r>
    </w:p>
    <w:p>
      <w:pPr>
        <w:spacing w:after="100" w:before="60"/>
        <w:jc w:val="both"/>
      </w:pPr>
      <w:r>
        <w:rPr>
          <w:rFonts w:ascii="Arial" w:cs="Arial" w:eastAsia="Arial" w:hAnsi="Arial"/>
          <w:sz w:val="22"/>
          <w:szCs w:val="22"/>
        </w:rPr>
        <w:t xml:space="preserve">Kuhn, H. W. (1955). The Hungarian method for the assignment problem. Naval Research Logistics Quarterly, 2(1–2), 83–97. https://doi.org/10.1002/nav.3800020109</w:t>
      </w:r>
    </w:p>
    <w:p>
      <w:pPr>
        <w:spacing w:after="60" w:before="60"/>
      </w:pPr>
      <w:r>
        <w:t xml:space="preserve"/>
      </w:r>
    </w:p>
    <w:p>
      <w:pPr>
        <w:spacing w:after="100" w:before="60"/>
        <w:jc w:val="both"/>
      </w:pPr>
      <w:r>
        <w:rPr>
          <w:rFonts w:ascii="Arial" w:cs="Arial" w:eastAsia="Arial" w:hAnsi="Arial"/>
          <w:sz w:val="22"/>
          <w:szCs w:val="22"/>
        </w:rPr>
        <w:t xml:space="preserve">Ma, H., &amp; Koenig, S. (2016). Optimal target assignment and path finding for teams of agents. In Proceedings of the 15th International Conference on Autonomous Agents and Multiagent Systems (AAMAS 2016) (pp. 1144–1152). IFAAMAS.</w:t>
      </w:r>
    </w:p>
    <w:p>
      <w:pPr>
        <w:spacing w:after="60" w:before="60"/>
      </w:pPr>
      <w:r>
        <w:t xml:space="preserve"/>
      </w:r>
    </w:p>
    <w:p>
      <w:pPr>
        <w:spacing w:after="100" w:before="60"/>
        <w:jc w:val="both"/>
      </w:pPr>
      <w:r>
        <w:rPr>
          <w:rFonts w:ascii="Arial" w:cs="Arial" w:eastAsia="Arial" w:hAnsi="Arial"/>
          <w:sz w:val="22"/>
          <w:szCs w:val="22"/>
        </w:rPr>
        <w:t xml:space="preserve">Ma, H., Kumar, T. K. S., &amp; Koenig, S. (2017). Multi-agent path finding with delay probabilities. In Proceedings of the 31st AAAI Conference on Artificial Intelligence (AAAI 2017) (pp. 3605–3612). AAAI Press.</w:t>
      </w:r>
    </w:p>
    <w:p>
      <w:pPr>
        <w:spacing w:after="60" w:before="60"/>
      </w:pPr>
      <w:r>
        <w:t xml:space="preserve"/>
      </w:r>
    </w:p>
    <w:p>
      <w:pPr>
        <w:spacing w:after="100" w:before="60"/>
        <w:jc w:val="both"/>
      </w:pPr>
      <w:r>
        <w:rPr>
          <w:rFonts w:ascii="Arial" w:cs="Arial" w:eastAsia="Arial" w:hAnsi="Arial"/>
          <w:sz w:val="22"/>
          <w:szCs w:val="22"/>
        </w:rPr>
        <w:t xml:space="preserve">Ma, H., Li, J., Kumar, T. K. S., &amp; Koenig, S. (2017). Lifelong multi-agent path finding for online pickup and delivery tasks. In Proceedings of the 16th International Conference on Autonomous Agents and Multiagent Systems (AAMAS 2017) (pp. 837–845). IFAAMAS.</w:t>
      </w:r>
    </w:p>
    <w:p>
      <w:pPr>
        <w:spacing w:after="60" w:before="60"/>
      </w:pPr>
      <w:r>
        <w:t xml:space="preserve"/>
      </w:r>
    </w:p>
    <w:p>
      <w:pPr>
        <w:spacing w:after="100" w:before="60"/>
        <w:jc w:val="both"/>
      </w:pPr>
      <w:r>
        <w:rPr>
          <w:rFonts w:ascii="Arial" w:cs="Arial" w:eastAsia="Arial" w:hAnsi="Arial"/>
          <w:sz w:val="22"/>
          <w:szCs w:val="22"/>
        </w:rPr>
        <w:t xml:space="preserve">Metropolis, N., &amp; Ulam, S. (1949). The Monte Carlo method. Journal of the American Statistical Association, 44(247), 335–341. https://doi.org/10.1080/01621459.1949.10483310</w:t>
      </w:r>
    </w:p>
    <w:p>
      <w:pPr>
        <w:spacing w:after="60" w:before="60"/>
      </w:pPr>
      <w:r>
        <w:t xml:space="preserve"/>
      </w:r>
    </w:p>
    <w:p>
      <w:pPr>
        <w:spacing w:after="100" w:before="60"/>
        <w:jc w:val="both"/>
      </w:pPr>
      <w:r>
        <w:rPr>
          <w:rFonts w:ascii="Arial" w:cs="Arial" w:eastAsia="Arial" w:hAnsi="Arial"/>
          <w:sz w:val="22"/>
          <w:szCs w:val="22"/>
        </w:rPr>
        <w:t xml:space="preserve">Murty, K. G. (1968). An algorithm for ranking all the assignments in order of increasing cost. Operations Research, 16(3), 682–687. https://doi.org/10.1287/opre.16.3.682</w:t>
      </w:r>
    </w:p>
    <w:p>
      <w:pPr>
        <w:spacing w:after="60" w:before="60"/>
      </w:pPr>
      <w:r>
        <w:t xml:space="preserve"/>
      </w:r>
    </w:p>
    <w:p>
      <w:pPr>
        <w:spacing w:after="100" w:before="60"/>
        <w:jc w:val="both"/>
      </w:pPr>
      <w:r>
        <w:rPr>
          <w:rFonts w:ascii="Arial" w:cs="Arial" w:eastAsia="Arial" w:hAnsi="Arial"/>
          <w:sz w:val="22"/>
          <w:szCs w:val="22"/>
        </w:rPr>
        <w:t xml:space="preserve">Okumura, K., &amp; Défago, X. (2022). Solving simultaneous target assignment and path planning efficiently with time-independent execution. Proceedings of the AAAI Conference on Artificial Intelligence, 36(9), 9838–9846. https://doi.org/10.1609/aaai.v36i9.21218</w:t>
      </w:r>
    </w:p>
    <w:p>
      <w:pPr>
        <w:spacing w:after="60" w:before="60"/>
      </w:pPr>
      <w:r>
        <w:t xml:space="preserve"/>
      </w:r>
    </w:p>
    <w:p>
      <w:pPr>
        <w:spacing w:after="100" w:before="60"/>
        <w:jc w:val="both"/>
      </w:pPr>
      <w:r>
        <w:rPr>
          <w:rFonts w:ascii="Arial" w:cs="Arial" w:eastAsia="Arial" w:hAnsi="Arial"/>
          <w:sz w:val="22"/>
          <w:szCs w:val="22"/>
        </w:rPr>
        <w:t xml:space="preserve">Okumura, K., Tamura, Y., &amp; Défago, X. (2021). Time-independent planning for multiple moving agents. Proceedings of the AAAI Conference on Artificial Intelligence, 35(13), 11499–11507. https://doi.org/10.1609/aaai.v35i13.17370</w:t>
      </w:r>
    </w:p>
    <w:p>
      <w:pPr>
        <w:spacing w:after="60" w:before="60"/>
      </w:pPr>
      <w:r>
        <w:t xml:space="preserve"/>
      </w:r>
    </w:p>
    <w:p>
      <w:pPr>
        <w:spacing w:after="100" w:before="60"/>
        <w:jc w:val="both"/>
      </w:pPr>
      <w:r>
        <w:rPr>
          <w:rFonts w:ascii="Arial" w:cs="Arial" w:eastAsia="Arial" w:hAnsi="Arial"/>
          <w:sz w:val="22"/>
          <w:szCs w:val="22"/>
        </w:rPr>
        <w:t xml:space="preserve">Sharon, G., Stern, R., Felner, A., &amp; Sturtevant, N. R. (2015). Conflict-based search for optimal multi-agent pathfinding. Artificial Intelligence, 219, 40–66. https://doi.org/10.1016/j.artint.2014.11.006</w:t>
      </w:r>
    </w:p>
    <w:p>
      <w:pPr>
        <w:spacing w:after="60" w:before="60"/>
      </w:pPr>
      <w:r>
        <w:t xml:space="preserve"/>
      </w:r>
    </w:p>
    <w:p>
      <w:pPr>
        <w:spacing w:after="100" w:before="60"/>
        <w:jc w:val="both"/>
      </w:pPr>
      <w:r>
        <w:rPr>
          <w:rFonts w:ascii="Arial" w:cs="Arial" w:eastAsia="Arial" w:hAnsi="Arial"/>
          <w:sz w:val="22"/>
          <w:szCs w:val="22"/>
        </w:rPr>
        <w:t xml:space="preserve">Shapiro, S. S., &amp; Wilk, M. B. (1965). An analysis of variance test for normality (complete samples). Biometrika, 52(3–4), 591–611. https://doi.org/10.1093/biomet/52.3-4.591</w:t>
      </w:r>
    </w:p>
    <w:p>
      <w:pPr>
        <w:spacing w:after="60" w:before="60"/>
      </w:pPr>
      <w:r>
        <w:t xml:space="preserve"/>
      </w:r>
    </w:p>
    <w:p>
      <w:pPr>
        <w:spacing w:after="100" w:before="60"/>
        <w:jc w:val="both"/>
      </w:pPr>
      <w:r>
        <w:rPr>
          <w:rFonts w:ascii="Arial" w:cs="Arial" w:eastAsia="Arial" w:hAnsi="Arial"/>
          <w:sz w:val="22"/>
          <w:szCs w:val="22"/>
        </w:rPr>
        <w:t xml:space="preserve">Stern, R., Sturtevant, N., Felner, A., Koenig, S., Ma, H., Walker, T., Li, J., Atzmon, D., Cohen, L., Kumar, T. K. S., Boyarski, E., &amp; Bengtsson, H. (2019). Multi-agent pathfinding: Definitions, variants, and benchmarks. In Proceedings of the 12th International Symposium on Combinatorial Search (SOCS 2019) (pp. 151–158). AAAI Press.</w:t>
      </w:r>
    </w:p>
    <w:p>
      <w:pPr>
        <w:spacing w:after="60" w:before="60"/>
      </w:pPr>
      <w:r>
        <w:t xml:space="preserve"/>
      </w:r>
    </w:p>
    <w:p>
      <w:pPr>
        <w:spacing w:after="100" w:before="60"/>
        <w:jc w:val="both"/>
      </w:pPr>
      <w:r>
        <w:rPr>
          <w:rFonts w:ascii="Arial" w:cs="Arial" w:eastAsia="Arial" w:hAnsi="Arial"/>
          <w:sz w:val="22"/>
          <w:szCs w:val="22"/>
        </w:rPr>
        <w:t xml:space="preserve">Surynek, P. (2010). An optimization variant of multi-robot path planning is intractable. In Proceedings of the 24th AAAI Conference on Artificial Intelligence (AAAI 2010) (pp. 1261–1263). AAAI Press.</w:t>
      </w:r>
    </w:p>
    <w:p>
      <w:pPr>
        <w:spacing w:after="60" w:before="60"/>
      </w:pPr>
      <w:r>
        <w:t xml:space="preserve"/>
      </w:r>
    </w:p>
    <w:p>
      <w:pPr>
        <w:spacing w:after="100" w:before="60"/>
        <w:jc w:val="both"/>
      </w:pPr>
      <w:r>
        <w:rPr>
          <w:rFonts w:ascii="Arial" w:cs="Arial" w:eastAsia="Arial" w:hAnsi="Arial"/>
          <w:sz w:val="22"/>
          <w:szCs w:val="22"/>
        </w:rPr>
        <w:t xml:space="preserve">Wagner, G., &amp; Choset, H. (2011). M*: A complete multirobot path planning algorithm with performance bounds. In Proceedings of the IEEE/RSJ International Conference on Intelligent Robots and Systems (IROS 2011) (pp. 3260–3267). IEEE. https://doi.org/10.1109/IROS.2011.6095022</w:t>
      </w:r>
    </w:p>
    <w:p>
      <w:pPr>
        <w:spacing w:after="60" w:before="60"/>
      </w:pPr>
      <w:r>
        <w:t xml:space="preserve"/>
      </w:r>
    </w:p>
    <w:p>
      <w:pPr>
        <w:spacing w:after="100" w:before="60"/>
        <w:jc w:val="both"/>
      </w:pPr>
      <w:r>
        <w:rPr>
          <w:rFonts w:ascii="Arial" w:cs="Arial" w:eastAsia="Arial" w:hAnsi="Arial"/>
          <w:sz w:val="22"/>
          <w:szCs w:val="22"/>
        </w:rPr>
        <w:t xml:space="preserve">Wilson, E. B. (1927). Probable inference, the law of succession, and statistical inference. Journal of the American Statistical Association, 22(158), 209–212. https://doi.org/10.1080/01621459.1927.10502953</w:t>
      </w:r>
    </w:p>
    <w:p>
      <w:pPr>
        <w:spacing w:after="60" w:before="60"/>
      </w:pPr>
      <w:r>
        <w:t xml:space="preserve"/>
      </w:r>
    </w:p>
    <w:p>
      <w:pPr>
        <w:spacing w:after="100" w:before="60"/>
        <w:jc w:val="both"/>
      </w:pPr>
      <w:r>
        <w:rPr>
          <w:rFonts w:ascii="Arial" w:cs="Arial" w:eastAsia="Arial" w:hAnsi="Arial"/>
          <w:sz w:val="22"/>
          <w:szCs w:val="22"/>
        </w:rPr>
        <w:t xml:space="preserve">Wurman, P. R., D'Andrea, R., &amp; Mountz, M. (2008). Coordinating hundreds of cooperative, autonomous vehicles in warehouses. AI Magazine, 29(1), 9–20. https://doi.org/10.1609/aimag.v29i1.2082</w:t>
      </w:r>
    </w:p>
    <w:p>
      <w:pPr>
        <w:spacing w:after="60" w:before="60"/>
      </w:pPr>
      <w:r>
        <w:t xml:space="preserve"/>
      </w:r>
    </w:p>
    <w:p>
      <w:pPr>
        <w:spacing w:after="100" w:before="60"/>
        <w:jc w:val="both"/>
      </w:pPr>
      <w:r>
        <w:rPr>
          <w:rFonts w:ascii="Arial" w:cs="Arial" w:eastAsia="Arial" w:hAnsi="Arial"/>
          <w:sz w:val="22"/>
          <w:szCs w:val="22"/>
        </w:rPr>
        <w:t xml:space="preserve">Yu, J., &amp; LaValle, S. M. (2013a). Multi-agent path planning and network flow. In E. Frazzoli, T. Lozano-Perez, N. Roy, &amp; D. Rus (Eds.), Algorithmic Foundations of Robotics X (Springer Tracts in Advanced Robotics, Vol. 86, pp. 157–173). Springer. https://doi.org/10.1007/978-3-642-36279-8_10</w:t>
      </w:r>
    </w:p>
    <w:p>
      <w:pPr>
        <w:spacing w:after="60" w:before="60"/>
      </w:pPr>
      <w:r>
        <w:t xml:space="preserve"/>
      </w:r>
    </w:p>
    <w:p>
      <w:pPr>
        <w:spacing w:after="100" w:before="60"/>
        <w:jc w:val="both"/>
      </w:pPr>
      <w:r>
        <w:rPr>
          <w:rFonts w:ascii="Arial" w:cs="Arial" w:eastAsia="Arial" w:hAnsi="Arial"/>
          <w:sz w:val="22"/>
          <w:szCs w:val="22"/>
        </w:rPr>
        <w:t xml:space="preserve">Yu, J., &amp; LaValle, S. M. (2013b). Structure and intractability of optimal multi-robot path planning on graphs. In Proceedings of the 27th AAAI Conference on Artificial Intelligence (AAAI 2013) (pp. 1443–1449). AAAI Press.</w:t>
      </w:r>
    </w:p>
    <w:p>
      <w:pPr>
        <w:spacing w:after="60" w:before="60"/>
      </w:pPr>
      <w:r>
        <w:t xml:space="preserve"/>
      </w:r>
    </w:p>
    <w:p>
      <w:pPr>
        <w:spacing w:after="100" w:before="60"/>
        <w:jc w:val="both"/>
      </w:pPr>
      <w:r>
        <w:rPr>
          <w:rFonts w:ascii="Arial" w:cs="Arial" w:eastAsia="Arial" w:hAnsi="Arial"/>
          <w:sz w:val="22"/>
          <w:szCs w:val="22"/>
        </w:rPr>
        <w:t xml:space="preserve">Yu, J., &amp; LaValle, S. M. (2016). Optimal multirobot path planning on graphs: Complete algorithms and effective heuristics. IEEE Transactions on Robotics, 32(5), 1163–1177. https://doi.org/10.1109/TRO.2016.2593448</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057" w:sz="4" w:space="1"/>
      </w:pBd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4" w:space="1"/>
      </w:pBdr>
    </w:pPr>
    <w:r>
      <w:rPr>
        <w:rFonts w:ascii="Arial" w:cs="Arial" w:eastAsia="Arial" w:hAnsi="Arial"/>
        <w:i/>
        <w:iCs/>
        <w:color w:val="555555"/>
        <w:sz w:val="18"/>
        <w:szCs w:val="18"/>
      </w:rPr>
      <w:t xml:space="preserve">MAPF Study: CBS-TA, TSWAP &amp; ECBS — Monte Carlo with Bootstrap CI, Cohen's d &amp; Paper Comparison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1"/>
      </w:pBd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4057"/>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2E4057"/>
      <w:sz w:val="26"/>
      <w:szCs w:val="26"/>
    </w:rPr>
  </w:style>
  <w:style w:type="paragraph" w:styleId="Heading4">
    <w:name w:val="Heading 4"/>
    <w:basedOn w:val="Normal"/>
    <w:next w:val="Normal"/>
    <w:qFormat/>
    <w:pPr>
      <w:spacing w:after="80" w:before="200"/>
      <w:outlineLvl w:val="3"/>
    </w:pPr>
    <w:rPr>
      <w:rFonts w:ascii="Arial" w:cs="Arial" w:eastAsia="Arial" w:hAnsi="Arial"/>
      <w:b/>
      <w:bCs/>
      <w:i/>
      <w:i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2026-06-20T20:33:54.921Z</dcterms:created>
  <dcterms:modified xsi:type="dcterms:W3CDTF">2026-06-20T20:33:54.934Z</dcterms:modified>
</cp:coreProperties>
</file>

<file path=docProps/custom.xml><?xml version="1.0" encoding="utf-8"?>
<Properties xmlns="http://schemas.openxmlformats.org/officeDocument/2006/custom-properties" xmlns:vt="http://schemas.openxmlformats.org/officeDocument/2006/docPropsVTypes"/>
</file>