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01705" w:rsidRPr="00D47532" w:rsidRDefault="00000000">
      <w:pPr>
        <w:rPr>
          <w:rFonts w:ascii="Cambria" w:eastAsia="Calibri" w:hAnsi="Cambria" w:cs="Calibri"/>
          <w:b/>
        </w:rPr>
      </w:pPr>
      <w:proofErr w:type="spellStart"/>
      <w:r w:rsidRPr="00D47532">
        <w:rPr>
          <w:rFonts w:ascii="Cambria" w:eastAsia="Calibri" w:hAnsi="Cambria" w:cs="Calibri"/>
          <w:b/>
        </w:rPr>
        <w:t>Group_M_Intakes</w:t>
      </w:r>
      <w:proofErr w:type="spellEnd"/>
      <w:r w:rsidRPr="00D47532">
        <w:rPr>
          <w:rFonts w:ascii="Cambria" w:eastAsia="Calibri" w:hAnsi="Cambria" w:cs="Calibri"/>
          <w:b/>
        </w:rPr>
        <w:t xml:space="preserve"> </w:t>
      </w:r>
    </w:p>
    <w:p w14:paraId="00000002" w14:textId="77777777" w:rsidR="00F01705" w:rsidRPr="00D47532" w:rsidRDefault="00F01705">
      <w:pPr>
        <w:rPr>
          <w:rFonts w:ascii="Cambria" w:eastAsia="Calibri" w:hAnsi="Cambria" w:cs="Calibri"/>
        </w:rPr>
      </w:pPr>
    </w:p>
    <w:p w14:paraId="00000003" w14:textId="77777777" w:rsidR="00F01705" w:rsidRPr="00D47532" w:rsidRDefault="00000000">
      <w:pPr>
        <w:rPr>
          <w:rFonts w:ascii="Cambria" w:eastAsia="Calibri" w:hAnsi="Cambria" w:cs="Calibri"/>
          <w:b/>
        </w:rPr>
      </w:pPr>
      <w:r w:rsidRPr="00D47532">
        <w:rPr>
          <w:rFonts w:ascii="Cambria" w:eastAsia="Calibri" w:hAnsi="Cambria" w:cs="Calibri"/>
          <w:b/>
        </w:rPr>
        <w:t>Names of all project participants (including emails)</w:t>
      </w:r>
    </w:p>
    <w:p w14:paraId="00000004" w14:textId="77777777" w:rsidR="00F01705" w:rsidRPr="00D47532" w:rsidRDefault="00000000">
      <w:pPr>
        <w:rPr>
          <w:rFonts w:ascii="Cambria" w:eastAsia="Calibri" w:hAnsi="Cambria" w:cs="Calibri"/>
          <w:b/>
        </w:rPr>
      </w:pPr>
      <w:r w:rsidRPr="00D47532">
        <w:rPr>
          <w:rFonts w:ascii="Cambria" w:eastAsia="Calibri" w:hAnsi="Cambria" w:cs="Calibri"/>
          <w:b/>
        </w:rPr>
        <w:t xml:space="preserve">Group member: </w:t>
      </w:r>
    </w:p>
    <w:p w14:paraId="00000005" w14:textId="77777777" w:rsidR="00F01705" w:rsidRPr="00D47532" w:rsidRDefault="00000000">
      <w:pPr>
        <w:rPr>
          <w:rFonts w:ascii="Cambria" w:eastAsia="Calibri" w:hAnsi="Cambria" w:cs="Calibri"/>
        </w:rPr>
      </w:pPr>
      <w:r w:rsidRPr="00D47532">
        <w:rPr>
          <w:rFonts w:ascii="Cambria" w:eastAsia="Calibri" w:hAnsi="Cambria" w:cs="Calibri"/>
        </w:rPr>
        <w:t xml:space="preserve">Xinyao Huang </w:t>
      </w:r>
      <w:hyperlink r:id="rId5">
        <w:r w:rsidRPr="00D47532">
          <w:rPr>
            <w:rFonts w:ascii="Cambria" w:eastAsia="Calibri" w:hAnsi="Cambria" w:cs="Calibri"/>
            <w:color w:val="1155CC"/>
            <w:u w:val="single"/>
          </w:rPr>
          <w:t>xh2612@columbia.edu</w:t>
        </w:r>
      </w:hyperlink>
    </w:p>
    <w:p w14:paraId="00000006" w14:textId="77777777" w:rsidR="00F01705" w:rsidRPr="00D47532" w:rsidRDefault="00000000">
      <w:pPr>
        <w:rPr>
          <w:rFonts w:ascii="Cambria" w:eastAsia="Calibri" w:hAnsi="Cambria" w:cs="Calibri"/>
        </w:rPr>
      </w:pPr>
      <w:r w:rsidRPr="00D47532">
        <w:rPr>
          <w:rFonts w:ascii="Cambria" w:eastAsia="Calibri" w:hAnsi="Cambria" w:cs="Calibri"/>
        </w:rPr>
        <w:t xml:space="preserve">Jiayi Song </w:t>
      </w:r>
      <w:hyperlink r:id="rId6">
        <w:r w:rsidRPr="00D47532">
          <w:rPr>
            <w:rFonts w:ascii="Cambria" w:eastAsia="Calibri" w:hAnsi="Cambria" w:cs="Calibri"/>
            <w:color w:val="1155CC"/>
            <w:u w:val="single"/>
          </w:rPr>
          <w:t>js6367@columbia.edu</w:t>
        </w:r>
      </w:hyperlink>
    </w:p>
    <w:p w14:paraId="00000007" w14:textId="77777777" w:rsidR="00F01705" w:rsidRPr="00D47532" w:rsidRDefault="00000000">
      <w:pPr>
        <w:rPr>
          <w:rFonts w:ascii="Cambria" w:eastAsia="Calibri" w:hAnsi="Cambria" w:cs="Calibri"/>
        </w:rPr>
      </w:pPr>
      <w:proofErr w:type="spellStart"/>
      <w:r w:rsidRPr="00D47532">
        <w:rPr>
          <w:rFonts w:ascii="Cambria" w:eastAsia="Calibri" w:hAnsi="Cambria" w:cs="Calibri"/>
        </w:rPr>
        <w:t>Juanyu</w:t>
      </w:r>
      <w:proofErr w:type="spellEnd"/>
      <w:r w:rsidRPr="00D47532">
        <w:rPr>
          <w:rFonts w:ascii="Cambria" w:eastAsia="Calibri" w:hAnsi="Cambria" w:cs="Calibri"/>
        </w:rPr>
        <w:t xml:space="preserve"> Liu </w:t>
      </w:r>
      <w:hyperlink r:id="rId7">
        <w:r w:rsidRPr="00D47532">
          <w:rPr>
            <w:rFonts w:ascii="Cambria" w:eastAsia="Calibri" w:hAnsi="Cambria" w:cs="Calibri"/>
            <w:color w:val="1155CC"/>
            <w:u w:val="single"/>
          </w:rPr>
          <w:t>jl6576@columbia.edu</w:t>
        </w:r>
      </w:hyperlink>
    </w:p>
    <w:p w14:paraId="00000008" w14:textId="77777777" w:rsidR="00F01705" w:rsidRPr="00D47532" w:rsidRDefault="00000000">
      <w:pPr>
        <w:rPr>
          <w:rFonts w:ascii="Cambria" w:eastAsia="Calibri" w:hAnsi="Cambria" w:cs="Calibri"/>
        </w:rPr>
      </w:pPr>
      <w:r w:rsidRPr="00D47532">
        <w:rPr>
          <w:rFonts w:ascii="Cambria" w:eastAsia="Calibri" w:hAnsi="Cambria" w:cs="Calibri"/>
        </w:rPr>
        <w:t xml:space="preserve">Rou Xie </w:t>
      </w:r>
      <w:hyperlink r:id="rId8">
        <w:r w:rsidRPr="00D47532">
          <w:rPr>
            <w:rFonts w:ascii="Cambria" w:eastAsia="Calibri" w:hAnsi="Cambria" w:cs="Calibri"/>
            <w:color w:val="1155CC"/>
            <w:u w:val="single"/>
          </w:rPr>
          <w:t>rx2228@columbia.edu</w:t>
        </w:r>
      </w:hyperlink>
    </w:p>
    <w:p w14:paraId="00000009" w14:textId="77777777" w:rsidR="00F01705" w:rsidRPr="00D47532" w:rsidRDefault="00F01705">
      <w:pPr>
        <w:rPr>
          <w:rFonts w:ascii="Cambria" w:eastAsia="Calibri" w:hAnsi="Cambria" w:cs="Calibri"/>
        </w:rPr>
      </w:pPr>
    </w:p>
    <w:p w14:paraId="0000000A" w14:textId="77777777" w:rsidR="00F01705" w:rsidRPr="00D47532" w:rsidRDefault="00000000">
      <w:pPr>
        <w:rPr>
          <w:rFonts w:ascii="Cambria" w:eastAsia="Calibri" w:hAnsi="Cambria" w:cs="Calibri"/>
          <w:b/>
        </w:rPr>
      </w:pPr>
      <w:r w:rsidRPr="00D47532">
        <w:rPr>
          <w:rFonts w:ascii="Cambria" w:eastAsia="Calibri" w:hAnsi="Cambria" w:cs="Calibri"/>
          <w:b/>
        </w:rPr>
        <w:t xml:space="preserve">Brief description of the proposed visualizations / analysis </w:t>
      </w:r>
    </w:p>
    <w:p w14:paraId="0000000B" w14:textId="77777777" w:rsidR="00F01705" w:rsidRPr="00D47532" w:rsidRDefault="00000000">
      <w:pPr>
        <w:rPr>
          <w:rFonts w:ascii="Cambria" w:eastAsia="Calibri" w:hAnsi="Cambria" w:cs="Calibri"/>
          <w:b/>
        </w:rPr>
      </w:pPr>
      <w:r w:rsidRPr="00D47532">
        <w:rPr>
          <w:rFonts w:ascii="Cambria" w:eastAsia="Calibri" w:hAnsi="Cambria" w:cs="Calibri"/>
          <w:b/>
        </w:rPr>
        <w:t>Abstract:</w:t>
      </w:r>
    </w:p>
    <w:p w14:paraId="0000000C" w14:textId="77777777" w:rsidR="00F01705" w:rsidRPr="00D47532" w:rsidRDefault="00000000">
      <w:pPr>
        <w:rPr>
          <w:rFonts w:ascii="Cambria" w:eastAsia="Calibri" w:hAnsi="Cambria" w:cs="Calibri"/>
        </w:rPr>
      </w:pPr>
      <w:r w:rsidRPr="00D47532">
        <w:rPr>
          <w:rFonts w:ascii="Cambria" w:eastAsia="Calibri" w:hAnsi="Cambria" w:cs="Calibri"/>
        </w:rPr>
        <w:t>Our project aims to uncover potential links between the two by analyzing global, national, and New York City data, exploring and visualizing the relationship between happiness and per capita sugar intake. To quantify happiness, we used the Twitter Mood dataset for mood analysis to judge individual and group happiness. By collecting and collating statistics on sugar intake, we aim to build a visual map showing the relationship between happiness and sugar intake in different geographical locations.</w:t>
      </w:r>
    </w:p>
    <w:p w14:paraId="0000000D" w14:textId="77777777" w:rsidR="00F01705" w:rsidRPr="00D47532" w:rsidRDefault="00F01705">
      <w:pPr>
        <w:rPr>
          <w:rFonts w:ascii="Cambria" w:eastAsia="Calibri" w:hAnsi="Cambria" w:cs="Calibri"/>
        </w:rPr>
      </w:pPr>
    </w:p>
    <w:p w14:paraId="0000000E" w14:textId="77777777" w:rsidR="00F01705" w:rsidRPr="00D47532" w:rsidRDefault="00000000">
      <w:pPr>
        <w:rPr>
          <w:rFonts w:ascii="Cambria" w:eastAsia="Calibri" w:hAnsi="Cambria" w:cs="Calibri"/>
          <w:b/>
        </w:rPr>
      </w:pPr>
      <w:r w:rsidRPr="00D47532">
        <w:rPr>
          <w:rFonts w:ascii="Cambria" w:eastAsia="Calibri" w:hAnsi="Cambria" w:cs="Calibri"/>
          <w:b/>
        </w:rPr>
        <w:t>Link to data sources / API etc.</w:t>
      </w:r>
    </w:p>
    <w:p w14:paraId="0000000F" w14:textId="77777777" w:rsidR="00F01705" w:rsidRPr="00D47532" w:rsidRDefault="00000000">
      <w:pPr>
        <w:rPr>
          <w:rFonts w:ascii="Cambria" w:eastAsia="Calibri" w:hAnsi="Cambria" w:cs="Calibri"/>
          <w:b/>
        </w:rPr>
      </w:pPr>
      <w:r w:rsidRPr="00D47532">
        <w:rPr>
          <w:rFonts w:ascii="Cambria" w:eastAsia="Calibri" w:hAnsi="Cambria" w:cs="Calibri"/>
          <w:b/>
        </w:rPr>
        <w:t>Dataset description:</w:t>
      </w:r>
    </w:p>
    <w:p w14:paraId="00000010" w14:textId="77777777" w:rsidR="00F01705" w:rsidRPr="00D47532" w:rsidRDefault="00000000">
      <w:pPr>
        <w:numPr>
          <w:ilvl w:val="0"/>
          <w:numId w:val="2"/>
        </w:numPr>
        <w:rPr>
          <w:rFonts w:ascii="Cambria" w:eastAsia="Calibri" w:hAnsi="Cambria" w:cs="Calibri"/>
          <w:b/>
        </w:rPr>
      </w:pPr>
      <w:r w:rsidRPr="00D47532">
        <w:rPr>
          <w:rFonts w:ascii="Cambria" w:eastAsia="Calibri" w:hAnsi="Cambria" w:cs="Calibri"/>
          <w:b/>
        </w:rPr>
        <w:t>Supply Utilization Accounts Food and Diet 2010-2020</w:t>
      </w:r>
    </w:p>
    <w:p w14:paraId="00000011" w14:textId="77777777" w:rsidR="00F01705" w:rsidRPr="00D47532" w:rsidRDefault="00000000">
      <w:pPr>
        <w:rPr>
          <w:rFonts w:ascii="Cambria" w:eastAsia="Calibri" w:hAnsi="Cambria" w:cs="Calibri"/>
        </w:rPr>
      </w:pPr>
      <w:r w:rsidRPr="00D47532">
        <w:rPr>
          <w:rFonts w:ascii="Cambria" w:eastAsia="Calibri" w:hAnsi="Cambria" w:cs="Calibri"/>
        </w:rPr>
        <w:t xml:space="preserve">URL: </w:t>
      </w:r>
      <w:hyperlink r:id="rId9" w:anchor="data/SUA">
        <w:r w:rsidRPr="00D47532">
          <w:rPr>
            <w:rFonts w:ascii="Cambria" w:eastAsia="Calibri" w:hAnsi="Cambria" w:cs="Calibri"/>
            <w:color w:val="1155CC"/>
            <w:u w:val="single"/>
          </w:rPr>
          <w:t>https://www.fao.org/faostat/en/#data/SUA</w:t>
        </w:r>
      </w:hyperlink>
    </w:p>
    <w:p w14:paraId="00000012" w14:textId="77777777" w:rsidR="00F01705" w:rsidRPr="00D47532" w:rsidRDefault="00000000">
      <w:pPr>
        <w:rPr>
          <w:rFonts w:ascii="Cambria" w:eastAsia="Calibri" w:hAnsi="Cambria" w:cs="Calibri"/>
        </w:rPr>
      </w:pPr>
      <w:r w:rsidRPr="00D47532">
        <w:rPr>
          <w:rFonts w:ascii="Cambria" w:eastAsia="Calibri" w:hAnsi="Cambria" w:cs="Calibri"/>
          <w:color w:val="0D0D0D"/>
          <w:highlight w:val="white"/>
        </w:rPr>
        <w:t xml:space="preserve">The dataset presents average daily per capita macro and micro nutrient availability by country and by FAO/WHO GIFT food groups, expressed in grams/milligrams/micrograms/kcal per capita per day. It covers </w:t>
      </w:r>
      <w:proofErr w:type="gramStart"/>
      <w:r w:rsidRPr="00D47532">
        <w:rPr>
          <w:rFonts w:ascii="Cambria" w:eastAsia="Calibri" w:hAnsi="Cambria" w:cs="Calibri"/>
          <w:color w:val="0D0D0D"/>
          <w:highlight w:val="white"/>
        </w:rPr>
        <w:t>the majority of</w:t>
      </w:r>
      <w:proofErr w:type="gramEnd"/>
      <w:r w:rsidRPr="00D47532">
        <w:rPr>
          <w:rFonts w:ascii="Cambria" w:eastAsia="Calibri" w:hAnsi="Cambria" w:cs="Calibri"/>
          <w:color w:val="0D0D0D"/>
          <w:highlight w:val="white"/>
        </w:rPr>
        <w:t xml:space="preserve"> countries around the world.</w:t>
      </w:r>
    </w:p>
    <w:p w14:paraId="00000013" w14:textId="77777777" w:rsidR="00F01705" w:rsidRPr="00D47532" w:rsidRDefault="00F01705">
      <w:pPr>
        <w:rPr>
          <w:rFonts w:ascii="Cambria" w:eastAsia="Calibri" w:hAnsi="Cambria" w:cs="Calibri"/>
        </w:rPr>
      </w:pPr>
    </w:p>
    <w:p w14:paraId="00000014" w14:textId="77777777" w:rsidR="00F01705" w:rsidRPr="00D47532" w:rsidRDefault="00000000">
      <w:pPr>
        <w:numPr>
          <w:ilvl w:val="0"/>
          <w:numId w:val="2"/>
        </w:numPr>
        <w:rPr>
          <w:rFonts w:ascii="Cambria" w:eastAsia="Calibri" w:hAnsi="Cambria" w:cs="Calibri"/>
          <w:b/>
        </w:rPr>
      </w:pPr>
      <w:r w:rsidRPr="00D47532">
        <w:rPr>
          <w:rFonts w:ascii="Cambria" w:eastAsia="Calibri" w:hAnsi="Cambria" w:cs="Calibri"/>
          <w:b/>
        </w:rPr>
        <w:t>Household Consumption and Expenditure Surveys</w:t>
      </w:r>
    </w:p>
    <w:p w14:paraId="00000015" w14:textId="77777777" w:rsidR="00F01705" w:rsidRPr="00D47532" w:rsidRDefault="00000000">
      <w:pPr>
        <w:rPr>
          <w:rFonts w:ascii="Cambria" w:eastAsia="Calibri" w:hAnsi="Cambria" w:cs="Calibri"/>
        </w:rPr>
      </w:pPr>
      <w:r w:rsidRPr="00D47532">
        <w:rPr>
          <w:rFonts w:ascii="Cambria" w:eastAsia="Calibri" w:hAnsi="Cambria" w:cs="Calibri"/>
        </w:rPr>
        <w:t xml:space="preserve">URL: </w:t>
      </w:r>
      <w:hyperlink r:id="rId10" w:anchor="data/HCES">
        <w:r w:rsidRPr="00D47532">
          <w:rPr>
            <w:rFonts w:ascii="Cambria" w:eastAsia="Calibri" w:hAnsi="Cambria" w:cs="Calibri"/>
            <w:color w:val="1155CC"/>
            <w:u w:val="single"/>
          </w:rPr>
          <w:t>https://www.fao.org/faostat/en/#data/HCES</w:t>
        </w:r>
      </w:hyperlink>
    </w:p>
    <w:p w14:paraId="00000016" w14:textId="77777777" w:rsidR="00F01705" w:rsidRPr="00D47532" w:rsidRDefault="00000000">
      <w:pPr>
        <w:rPr>
          <w:rFonts w:ascii="Cambria" w:eastAsia="Calibri" w:hAnsi="Cambria" w:cs="Calibri"/>
          <w:color w:val="0D0D0D"/>
          <w:highlight w:val="white"/>
        </w:rPr>
      </w:pPr>
      <w:r w:rsidRPr="00D47532">
        <w:rPr>
          <w:rFonts w:ascii="Cambria" w:eastAsia="Calibri" w:hAnsi="Cambria" w:cs="Calibri"/>
          <w:color w:val="0D0D0D"/>
          <w:highlight w:val="white"/>
        </w:rPr>
        <w:t xml:space="preserve">The food and nutrient apparent consumption statistics were computed by the FAO Statistics Team from Household Consumption and Expenditure Survey (HCES) data. </w:t>
      </w:r>
      <w:proofErr w:type="gramStart"/>
      <w:r w:rsidRPr="00D47532">
        <w:rPr>
          <w:rFonts w:ascii="Cambria" w:eastAsia="Calibri" w:hAnsi="Cambria" w:cs="Calibri"/>
          <w:color w:val="0D0D0D"/>
          <w:highlight w:val="white"/>
        </w:rPr>
        <w:t>It  mainly</w:t>
      </w:r>
      <w:proofErr w:type="gramEnd"/>
      <w:r w:rsidRPr="00D47532">
        <w:rPr>
          <w:rFonts w:ascii="Cambria" w:eastAsia="Calibri" w:hAnsi="Cambria" w:cs="Calibri"/>
          <w:color w:val="0D0D0D"/>
          <w:highlight w:val="white"/>
        </w:rPr>
        <w:t xml:space="preserve">  covers developing countries in South America, Africa and Middle West Asia.</w:t>
      </w:r>
    </w:p>
    <w:p w14:paraId="00000017" w14:textId="77777777" w:rsidR="00F01705" w:rsidRPr="00D47532" w:rsidRDefault="00F01705">
      <w:pPr>
        <w:rPr>
          <w:rFonts w:ascii="Cambria" w:eastAsia="Calibri" w:hAnsi="Cambria" w:cs="Calibri"/>
          <w:color w:val="0D0D0D"/>
          <w:highlight w:val="white"/>
        </w:rPr>
      </w:pPr>
    </w:p>
    <w:p w14:paraId="00000018" w14:textId="77777777" w:rsidR="00F01705" w:rsidRPr="00D47532" w:rsidRDefault="00000000">
      <w:pPr>
        <w:numPr>
          <w:ilvl w:val="0"/>
          <w:numId w:val="2"/>
        </w:numPr>
        <w:rPr>
          <w:rFonts w:ascii="Cambria" w:eastAsia="Calibri" w:hAnsi="Cambria" w:cs="Calibri"/>
        </w:rPr>
      </w:pPr>
      <w:r w:rsidRPr="00D47532">
        <w:rPr>
          <w:rFonts w:ascii="Cambria" w:eastAsia="Calibri" w:hAnsi="Cambria" w:cs="Calibri"/>
          <w:color w:val="0D0D0D"/>
          <w:highlight w:val="white"/>
        </w:rPr>
        <w:t xml:space="preserve"> </w:t>
      </w:r>
      <w:r w:rsidRPr="00D47532">
        <w:rPr>
          <w:rFonts w:ascii="Cambria" w:eastAsia="Calibri" w:hAnsi="Cambria" w:cs="Calibri"/>
          <w:b/>
        </w:rPr>
        <w:t>National Health and Nutrition Examination Survey (NHANES) 2015-2016</w:t>
      </w:r>
    </w:p>
    <w:p w14:paraId="00000019" w14:textId="77777777" w:rsidR="00F01705" w:rsidRPr="00D47532" w:rsidRDefault="00000000">
      <w:pPr>
        <w:rPr>
          <w:rFonts w:ascii="Cambria" w:eastAsia="Calibri" w:hAnsi="Cambria" w:cs="Calibri"/>
          <w:color w:val="0D0D0D"/>
          <w:highlight w:val="white"/>
        </w:rPr>
      </w:pPr>
      <w:r w:rsidRPr="00D47532">
        <w:rPr>
          <w:rFonts w:ascii="Cambria" w:eastAsia="Calibri" w:hAnsi="Cambria" w:cs="Calibri"/>
          <w:color w:val="0D0D0D"/>
          <w:highlight w:val="white"/>
        </w:rPr>
        <w:t xml:space="preserve">URL: </w:t>
      </w:r>
      <w:hyperlink r:id="rId11">
        <w:r w:rsidRPr="00D47532">
          <w:rPr>
            <w:rFonts w:ascii="Cambria" w:eastAsia="Calibri" w:hAnsi="Cambria" w:cs="Calibri"/>
            <w:color w:val="1155CC"/>
            <w:highlight w:val="white"/>
            <w:u w:val="single"/>
          </w:rPr>
          <w:t>https://www.globaldietarydatabase.org/management/microdata-surveys/718</w:t>
        </w:r>
      </w:hyperlink>
    </w:p>
    <w:p w14:paraId="0000001A" w14:textId="77777777" w:rsidR="00F01705" w:rsidRPr="00D47532" w:rsidRDefault="00000000">
      <w:pPr>
        <w:rPr>
          <w:rFonts w:ascii="Cambria" w:eastAsia="Calibri" w:hAnsi="Cambria" w:cs="Calibri"/>
          <w:color w:val="0D0D0D"/>
          <w:highlight w:val="white"/>
        </w:rPr>
      </w:pPr>
      <w:r w:rsidRPr="00D47532">
        <w:rPr>
          <w:rFonts w:ascii="Cambria" w:eastAsia="Calibri" w:hAnsi="Cambria" w:cs="Calibri"/>
          <w:color w:val="0D0D0D"/>
          <w:highlight w:val="white"/>
        </w:rPr>
        <w:t xml:space="preserve">NHANES is designed to assess the health and nutritional status of adults and children in the United States. It collects data on a wide range of health-related topics, including diet, physical activity, obesity, chronic diseases, and environmental exposures. </w:t>
      </w:r>
    </w:p>
    <w:p w14:paraId="0000001B" w14:textId="77777777" w:rsidR="00F01705" w:rsidRPr="00D47532" w:rsidRDefault="00F01705">
      <w:pPr>
        <w:rPr>
          <w:rFonts w:ascii="Cambria" w:eastAsia="Calibri" w:hAnsi="Cambria" w:cs="Calibri"/>
          <w:color w:val="0D0D0D"/>
          <w:highlight w:val="white"/>
        </w:rPr>
      </w:pPr>
    </w:p>
    <w:p w14:paraId="0000001C" w14:textId="77777777" w:rsidR="00F01705" w:rsidRPr="00D47532" w:rsidRDefault="00000000">
      <w:pPr>
        <w:pStyle w:val="1"/>
        <w:keepNext w:val="0"/>
        <w:keepLines w:val="0"/>
        <w:numPr>
          <w:ilvl w:val="0"/>
          <w:numId w:val="2"/>
        </w:numPr>
        <w:pBdr>
          <w:bottom w:val="none" w:sz="0" w:space="4" w:color="auto"/>
        </w:pBdr>
        <w:shd w:val="clear" w:color="auto" w:fill="FFFFFF"/>
        <w:spacing w:before="0" w:after="0" w:line="322" w:lineRule="auto"/>
        <w:rPr>
          <w:rFonts w:ascii="Cambria" w:eastAsia="Calibri" w:hAnsi="Cambria" w:cs="Calibri"/>
          <w:color w:val="0D0D0D"/>
          <w:sz w:val="22"/>
          <w:szCs w:val="22"/>
          <w:highlight w:val="white"/>
        </w:rPr>
      </w:pPr>
      <w:bookmarkStart w:id="0" w:name="_pqx9nziz3vhe" w:colFirst="0" w:colLast="0"/>
      <w:bookmarkEnd w:id="0"/>
      <w:r w:rsidRPr="00D47532">
        <w:rPr>
          <w:rFonts w:ascii="Cambria" w:eastAsia="Calibri" w:hAnsi="Cambria" w:cs="Calibri"/>
          <w:b/>
          <w:sz w:val="22"/>
          <w:szCs w:val="22"/>
        </w:rPr>
        <w:t>Food Consumption and Nutrient Intakes 2015-2018</w:t>
      </w:r>
    </w:p>
    <w:p w14:paraId="0000001D" w14:textId="77777777" w:rsidR="00F01705" w:rsidRPr="00D47532" w:rsidRDefault="00000000">
      <w:pPr>
        <w:rPr>
          <w:rFonts w:ascii="Cambria" w:eastAsia="Calibri" w:hAnsi="Cambria" w:cs="Calibri"/>
          <w:color w:val="0D0D0D"/>
          <w:highlight w:val="white"/>
        </w:rPr>
      </w:pPr>
      <w:r w:rsidRPr="00D47532">
        <w:rPr>
          <w:rFonts w:ascii="Cambria" w:eastAsia="Calibri" w:hAnsi="Cambria" w:cs="Calibri"/>
          <w:color w:val="0D0D0D"/>
          <w:highlight w:val="white"/>
        </w:rPr>
        <w:t xml:space="preserve">URL: </w:t>
      </w:r>
      <w:hyperlink r:id="rId12">
        <w:r w:rsidRPr="00D47532">
          <w:rPr>
            <w:rFonts w:ascii="Cambria" w:eastAsia="Calibri" w:hAnsi="Cambria" w:cs="Calibri"/>
            <w:color w:val="1155CC"/>
            <w:highlight w:val="white"/>
            <w:u w:val="single"/>
          </w:rPr>
          <w:t>https://www.ers.usda.gov/data-products/food-consumption-and-nutrient-intakes/</w:t>
        </w:r>
      </w:hyperlink>
    </w:p>
    <w:p w14:paraId="0000001E" w14:textId="77777777" w:rsidR="00F01705" w:rsidRPr="00D47532" w:rsidRDefault="00000000">
      <w:pPr>
        <w:rPr>
          <w:rFonts w:ascii="Cambria" w:eastAsia="Calibri" w:hAnsi="Cambria" w:cs="Calibri"/>
          <w:color w:val="0D0D0D"/>
          <w:highlight w:val="white"/>
        </w:rPr>
      </w:pPr>
      <w:r w:rsidRPr="00D47532">
        <w:rPr>
          <w:rFonts w:ascii="Cambria" w:eastAsia="Calibri" w:hAnsi="Cambria" w:cs="Calibri"/>
          <w:color w:val="0D0D0D"/>
          <w:highlight w:val="white"/>
        </w:rPr>
        <w:t>ERS of USDA provides data on food consumption and nutrient intake by food source and demographic characteristics.</w:t>
      </w:r>
    </w:p>
    <w:p w14:paraId="0000001F" w14:textId="77777777" w:rsidR="00F01705" w:rsidRPr="00D47532" w:rsidRDefault="00F01705">
      <w:pPr>
        <w:rPr>
          <w:rFonts w:ascii="Cambria" w:eastAsia="Calibri" w:hAnsi="Cambria" w:cs="Calibri"/>
          <w:color w:val="0D0D0D"/>
          <w:highlight w:val="white"/>
        </w:rPr>
      </w:pPr>
    </w:p>
    <w:p w14:paraId="21DCA4E0" w14:textId="77777777" w:rsidR="00D47532" w:rsidRPr="00D47532" w:rsidRDefault="00000000" w:rsidP="00D47532">
      <w:pPr>
        <w:numPr>
          <w:ilvl w:val="0"/>
          <w:numId w:val="2"/>
        </w:numPr>
        <w:rPr>
          <w:rFonts w:ascii="Cambria" w:hAnsi="Cambria"/>
        </w:rPr>
      </w:pPr>
      <w:r w:rsidRPr="00D47532">
        <w:rPr>
          <w:rFonts w:ascii="Cambria" w:hAnsi="Cambria"/>
          <w:b/>
        </w:rPr>
        <w:lastRenderedPageBreak/>
        <w:t>Sentimental score</w:t>
      </w:r>
      <w:r w:rsidR="00D47532">
        <w:rPr>
          <w:rFonts w:ascii="Cambria" w:hAnsi="Cambria" w:hint="eastAsia"/>
          <w:b/>
          <w:color w:val="0D0D0D"/>
          <w:highlight w:val="white"/>
        </w:rPr>
        <w:t>:</w:t>
      </w:r>
      <w:r w:rsidR="00D47532">
        <w:rPr>
          <w:rFonts w:ascii="Cambria" w:hAnsi="Cambria"/>
          <w:b/>
          <w:color w:val="0D0D0D"/>
          <w:highlight w:val="white"/>
        </w:rPr>
        <w:t xml:space="preserve"> </w:t>
      </w:r>
    </w:p>
    <w:p w14:paraId="00000024" w14:textId="5059D8BD" w:rsidR="00F01705" w:rsidRPr="00D47532" w:rsidRDefault="00000000" w:rsidP="00D47532">
      <w:pPr>
        <w:numPr>
          <w:ilvl w:val="1"/>
          <w:numId w:val="2"/>
        </w:numPr>
        <w:rPr>
          <w:rFonts w:ascii="Cambria" w:hAnsi="Cambria"/>
        </w:rPr>
      </w:pPr>
      <w:r w:rsidRPr="00D47532">
        <w:rPr>
          <w:rFonts w:ascii="Cambria" w:hAnsi="Cambria"/>
          <w:b/>
          <w:bCs/>
          <w:color w:val="333333"/>
          <w:highlight w:val="white"/>
        </w:rPr>
        <w:t>Twitter Sentiment Geographical Index</w:t>
      </w:r>
    </w:p>
    <w:p w14:paraId="00000025" w14:textId="77777777" w:rsidR="00F01705" w:rsidRPr="00D47532" w:rsidRDefault="00000000">
      <w:pPr>
        <w:rPr>
          <w:rFonts w:ascii="Cambria" w:hAnsi="Cambria"/>
          <w:color w:val="333333"/>
          <w:highlight w:val="white"/>
        </w:rPr>
      </w:pPr>
      <w:hyperlink r:id="rId13">
        <w:r w:rsidRPr="00D47532">
          <w:rPr>
            <w:rFonts w:ascii="Cambria" w:hAnsi="Cambria"/>
            <w:color w:val="1155CC"/>
            <w:highlight w:val="white"/>
            <w:u w:val="single"/>
          </w:rPr>
          <w:t>https://www.globalsentiment.mit.edu/dataset</w:t>
        </w:r>
      </w:hyperlink>
    </w:p>
    <w:p w14:paraId="00000026" w14:textId="77777777" w:rsidR="00F01705" w:rsidRPr="00D47532" w:rsidRDefault="00000000">
      <w:pPr>
        <w:rPr>
          <w:rFonts w:ascii="Cambria" w:hAnsi="Cambria"/>
          <w:color w:val="333333"/>
          <w:highlight w:val="white"/>
        </w:rPr>
      </w:pPr>
      <w:hyperlink r:id="rId14">
        <w:r w:rsidRPr="00D47532">
          <w:rPr>
            <w:rFonts w:ascii="Cambria" w:hAnsi="Cambria"/>
            <w:color w:val="1155CC"/>
            <w:highlight w:val="white"/>
            <w:u w:val="single"/>
          </w:rPr>
          <w:t>https://dataverse.harvard.edu/dataset.xhtml?persistentId=doi:10.7910/DVN/3IL00Q</w:t>
        </w:r>
      </w:hyperlink>
    </w:p>
    <w:p w14:paraId="00000027" w14:textId="77777777" w:rsidR="00F01705" w:rsidRPr="00D47532" w:rsidRDefault="00000000">
      <w:pPr>
        <w:rPr>
          <w:rFonts w:ascii="Cambria" w:hAnsi="Cambria"/>
          <w:b/>
          <w:color w:val="0D0D0D"/>
          <w:highlight w:val="white"/>
        </w:rPr>
      </w:pPr>
      <w:r w:rsidRPr="00D47532">
        <w:rPr>
          <w:rFonts w:ascii="Cambria" w:hAnsi="Cambria"/>
          <w:b/>
          <w:color w:val="0D0D0D"/>
          <w:highlight w:val="white"/>
        </w:rPr>
        <w:t>Data structure:</w:t>
      </w:r>
    </w:p>
    <w:p w14:paraId="00000028" w14:textId="77777777" w:rsidR="00F01705" w:rsidRPr="00D47532" w:rsidRDefault="00000000">
      <w:pPr>
        <w:rPr>
          <w:rFonts w:ascii="Cambria" w:hAnsi="Cambria"/>
          <w:color w:val="0D0D0D"/>
          <w:highlight w:val="white"/>
        </w:rPr>
      </w:pPr>
      <w:r w:rsidRPr="00D47532">
        <w:rPr>
          <w:rFonts w:ascii="Cambria" w:hAnsi="Cambria"/>
          <w:color w:val="333333"/>
          <w:highlight w:val="white"/>
        </w:rPr>
        <w:t xml:space="preserve">DATE---- </w:t>
      </w:r>
      <w:proofErr w:type="spellStart"/>
      <w:r w:rsidRPr="00D47532">
        <w:rPr>
          <w:rFonts w:ascii="Cambria" w:hAnsi="Cambria"/>
          <w:color w:val="333333"/>
          <w:highlight w:val="white"/>
        </w:rPr>
        <w:t>date</w:t>
      </w:r>
      <w:proofErr w:type="spellEnd"/>
      <w:r w:rsidRPr="00D47532">
        <w:rPr>
          <w:rFonts w:ascii="Cambria" w:hAnsi="Cambria"/>
          <w:color w:val="333333"/>
          <w:highlight w:val="white"/>
        </w:rPr>
        <w:t xml:space="preserve"> ---- the date of the sentiment index</w:t>
      </w:r>
    </w:p>
    <w:p w14:paraId="00000029" w14:textId="77777777" w:rsidR="00F01705" w:rsidRPr="00D47532" w:rsidRDefault="00000000">
      <w:pPr>
        <w:rPr>
          <w:rFonts w:ascii="Cambria" w:hAnsi="Cambria"/>
          <w:color w:val="0D0D0D"/>
          <w:highlight w:val="white"/>
        </w:rPr>
      </w:pPr>
      <w:r w:rsidRPr="00D47532">
        <w:rPr>
          <w:rFonts w:ascii="Cambria" w:hAnsi="Cambria"/>
          <w:color w:val="333333"/>
          <w:highlight w:val="white"/>
        </w:rPr>
        <w:t>NAME_0 ---- string ---- the country name</w:t>
      </w:r>
    </w:p>
    <w:p w14:paraId="0000002A" w14:textId="77777777" w:rsidR="00F01705" w:rsidRPr="00D47532" w:rsidRDefault="00000000">
      <w:pPr>
        <w:rPr>
          <w:rFonts w:ascii="Cambria" w:hAnsi="Cambria"/>
          <w:color w:val="0D0D0D"/>
          <w:highlight w:val="white"/>
        </w:rPr>
      </w:pPr>
      <w:r w:rsidRPr="00D47532">
        <w:rPr>
          <w:rFonts w:ascii="Cambria" w:hAnsi="Cambria"/>
          <w:color w:val="333333"/>
          <w:highlight w:val="white"/>
        </w:rPr>
        <w:t>NAME_1 ---- string ---- the state/province name</w:t>
      </w:r>
    </w:p>
    <w:p w14:paraId="0000002B" w14:textId="77777777" w:rsidR="00F01705" w:rsidRPr="00D47532" w:rsidRDefault="00000000">
      <w:pPr>
        <w:rPr>
          <w:rFonts w:ascii="Cambria" w:hAnsi="Cambria"/>
          <w:color w:val="0D0D0D"/>
          <w:highlight w:val="white"/>
        </w:rPr>
      </w:pPr>
      <w:r w:rsidRPr="00D47532">
        <w:rPr>
          <w:rFonts w:ascii="Cambria" w:hAnsi="Cambria"/>
          <w:color w:val="333333"/>
          <w:highlight w:val="white"/>
        </w:rPr>
        <w:t>NAME_2 ---- string ---- the county/city name</w:t>
      </w:r>
    </w:p>
    <w:p w14:paraId="0000002C" w14:textId="77777777" w:rsidR="00F01705" w:rsidRPr="00D47532" w:rsidRDefault="00000000">
      <w:pPr>
        <w:rPr>
          <w:rFonts w:ascii="Cambria" w:hAnsi="Cambria"/>
          <w:color w:val="0D0D0D"/>
          <w:highlight w:val="white"/>
        </w:rPr>
      </w:pPr>
      <w:r w:rsidRPr="00D47532">
        <w:rPr>
          <w:rFonts w:ascii="Cambria" w:hAnsi="Cambria"/>
          <w:color w:val="333333"/>
          <w:highlight w:val="white"/>
        </w:rPr>
        <w:t>SCORE ---- float ---- a float value between 0 and 1 representing the sentiment index where 1 represents a positive sentiment and 0 represents the negative sentiment.</w:t>
      </w:r>
    </w:p>
    <w:p w14:paraId="0000002E" w14:textId="3D8FCA8A" w:rsidR="00F01705" w:rsidRPr="00D47532" w:rsidRDefault="00000000">
      <w:pPr>
        <w:rPr>
          <w:rFonts w:ascii="Cambria" w:hAnsi="Cambria" w:hint="eastAsia"/>
          <w:color w:val="333333"/>
          <w:highlight w:val="white"/>
        </w:rPr>
      </w:pPr>
      <w:r w:rsidRPr="00D47532">
        <w:rPr>
          <w:rFonts w:ascii="Cambria" w:hAnsi="Cambria"/>
          <w:color w:val="333333"/>
          <w:highlight w:val="white"/>
        </w:rPr>
        <w:t>N ---- int ---- the number of posts generated given the specific date</w:t>
      </w:r>
    </w:p>
    <w:p w14:paraId="0000002F" w14:textId="77777777" w:rsidR="00F01705" w:rsidRPr="00D47532" w:rsidRDefault="00000000">
      <w:pPr>
        <w:rPr>
          <w:rFonts w:ascii="Cambria" w:hAnsi="Cambria"/>
          <w:color w:val="181818"/>
          <w:highlight w:val="white"/>
        </w:rPr>
      </w:pPr>
      <w:r w:rsidRPr="00D47532">
        <w:rPr>
          <w:rFonts w:ascii="Cambria" w:hAnsi="Cambria"/>
          <w:color w:val="181818"/>
          <w:highlight w:val="white"/>
        </w:rPr>
        <w:t xml:space="preserve">The raw tweet data used to produce the global sentiment and geography index dataset (GSGD) is from Harvard CGA </w:t>
      </w:r>
      <w:proofErr w:type="spellStart"/>
      <w:r w:rsidRPr="00D47532">
        <w:rPr>
          <w:rFonts w:ascii="Cambria" w:hAnsi="Cambria"/>
          <w:color w:val="181818"/>
          <w:highlight w:val="white"/>
        </w:rPr>
        <w:t>Geotweet</w:t>
      </w:r>
      <w:proofErr w:type="spellEnd"/>
      <w:r w:rsidRPr="00D47532">
        <w:rPr>
          <w:rFonts w:ascii="Cambria" w:hAnsi="Cambria"/>
          <w:color w:val="181818"/>
          <w:highlight w:val="white"/>
        </w:rPr>
        <w:t xml:space="preserve"> Archive v2.0, a global collection of geotagged tweets spanning time, geography, and language maintained by the Harvard Center for Geographic Analysis. The Archive extends from 2010 to the present and is updated daily. The number of tweets in the collection is approximately 10 billion.</w:t>
      </w:r>
    </w:p>
    <w:p w14:paraId="00000030" w14:textId="77777777" w:rsidR="00F01705" w:rsidRPr="00D47532" w:rsidRDefault="00F01705">
      <w:pPr>
        <w:rPr>
          <w:rFonts w:ascii="Cambria" w:hAnsi="Cambria"/>
          <w:color w:val="181818"/>
          <w:highlight w:val="white"/>
        </w:rPr>
      </w:pPr>
    </w:p>
    <w:p w14:paraId="00000031" w14:textId="77777777" w:rsidR="00F01705" w:rsidRPr="00D47532" w:rsidRDefault="00000000">
      <w:pPr>
        <w:rPr>
          <w:rFonts w:ascii="Cambria" w:hAnsi="Cambria"/>
          <w:b/>
          <w:color w:val="181818"/>
          <w:highlight w:val="white"/>
        </w:rPr>
      </w:pPr>
      <w:r w:rsidRPr="00D47532">
        <w:rPr>
          <w:rFonts w:ascii="Cambria" w:hAnsi="Cambria"/>
          <w:b/>
          <w:color w:val="181818"/>
          <w:highlight w:val="white"/>
        </w:rPr>
        <w:t>Pros/cons:</w:t>
      </w:r>
    </w:p>
    <w:p w14:paraId="00000032" w14:textId="77777777" w:rsidR="00F01705" w:rsidRPr="00D47532" w:rsidRDefault="00000000">
      <w:pPr>
        <w:rPr>
          <w:rFonts w:ascii="Cambria" w:hAnsi="Cambria"/>
          <w:color w:val="181818"/>
          <w:highlight w:val="white"/>
        </w:rPr>
      </w:pPr>
      <w:r w:rsidRPr="00D47532">
        <w:rPr>
          <w:rFonts w:ascii="Cambria" w:hAnsi="Cambria"/>
          <w:color w:val="181818"/>
          <w:highlight w:val="white"/>
        </w:rPr>
        <w:t>Precalculated sentiment score.</w:t>
      </w:r>
    </w:p>
    <w:p w14:paraId="00000033" w14:textId="77777777" w:rsidR="00F01705" w:rsidRPr="00D47532" w:rsidRDefault="00000000">
      <w:pPr>
        <w:rPr>
          <w:rFonts w:ascii="Cambria" w:hAnsi="Cambria"/>
          <w:color w:val="181818"/>
          <w:highlight w:val="white"/>
        </w:rPr>
      </w:pPr>
      <w:r w:rsidRPr="00D47532">
        <w:rPr>
          <w:rFonts w:ascii="Cambria" w:hAnsi="Cambria"/>
          <w:color w:val="181818"/>
          <w:highlight w:val="white"/>
        </w:rPr>
        <w:t>Calculated by cites.</w:t>
      </w:r>
    </w:p>
    <w:p w14:paraId="00000035" w14:textId="77777777" w:rsidR="00F01705" w:rsidRPr="00D47532" w:rsidRDefault="00F01705">
      <w:pPr>
        <w:rPr>
          <w:rFonts w:ascii="Cambria" w:hAnsi="Cambria" w:hint="eastAsia"/>
          <w:color w:val="181818"/>
          <w:highlight w:val="white"/>
        </w:rPr>
      </w:pPr>
    </w:p>
    <w:p w14:paraId="00000037" w14:textId="2B609068" w:rsidR="00F01705" w:rsidRPr="00D47532" w:rsidRDefault="00000000" w:rsidP="00D47532">
      <w:pPr>
        <w:pStyle w:val="a5"/>
        <w:numPr>
          <w:ilvl w:val="1"/>
          <w:numId w:val="2"/>
        </w:numPr>
        <w:ind w:firstLineChars="0"/>
        <w:rPr>
          <w:rFonts w:ascii="Cambria" w:hAnsi="Cambria"/>
          <w:b/>
          <w:bCs/>
          <w:color w:val="181818"/>
          <w:highlight w:val="white"/>
        </w:rPr>
      </w:pPr>
      <w:r w:rsidRPr="00D47532">
        <w:rPr>
          <w:rFonts w:ascii="Cambria" w:hAnsi="Cambria"/>
          <w:b/>
          <w:bCs/>
          <w:color w:val="202122"/>
          <w:highlight w:val="white"/>
        </w:rPr>
        <w:t>World Happiness Report</w:t>
      </w:r>
    </w:p>
    <w:p w14:paraId="00000038" w14:textId="77777777" w:rsidR="00F01705" w:rsidRPr="00D47532" w:rsidRDefault="00000000">
      <w:pPr>
        <w:pBdr>
          <w:bottom w:val="none" w:sz="0" w:space="5" w:color="auto"/>
        </w:pBdr>
        <w:spacing w:before="100"/>
        <w:rPr>
          <w:rFonts w:ascii="Cambria" w:hAnsi="Cambria"/>
          <w:color w:val="202122"/>
          <w:highlight w:val="white"/>
        </w:rPr>
      </w:pPr>
      <w:hyperlink r:id="rId15">
        <w:r w:rsidRPr="00D47532">
          <w:rPr>
            <w:rFonts w:ascii="Cambria" w:hAnsi="Cambria"/>
            <w:color w:val="1155CC"/>
            <w:highlight w:val="white"/>
            <w:u w:val="single"/>
          </w:rPr>
          <w:t>https://worldhappiness.report/data/</w:t>
        </w:r>
      </w:hyperlink>
    </w:p>
    <w:p w14:paraId="00000039" w14:textId="77777777" w:rsidR="00F01705" w:rsidRPr="00D47532" w:rsidRDefault="00000000">
      <w:pPr>
        <w:rPr>
          <w:rFonts w:ascii="Cambria" w:hAnsi="Cambria"/>
          <w:color w:val="795CB2"/>
          <w:highlight w:val="white"/>
          <w:vertAlign w:val="superscript"/>
        </w:rPr>
      </w:pPr>
      <w:r w:rsidRPr="00D47532">
        <w:rPr>
          <w:rFonts w:ascii="Cambria" w:hAnsi="Cambria"/>
          <w:b/>
          <w:color w:val="0D0D0D"/>
          <w:highlight w:val="white"/>
        </w:rPr>
        <w:t>Data structure:</w:t>
      </w:r>
    </w:p>
    <w:p w14:paraId="0000003A" w14:textId="77777777" w:rsidR="00F01705" w:rsidRPr="00D47532" w:rsidRDefault="00000000">
      <w:pPr>
        <w:pBdr>
          <w:bottom w:val="none" w:sz="0" w:space="5" w:color="auto"/>
        </w:pBdr>
        <w:spacing w:before="100"/>
        <w:rPr>
          <w:rFonts w:ascii="Cambria" w:hAnsi="Cambria"/>
          <w:color w:val="202122"/>
          <w:highlight w:val="white"/>
        </w:rPr>
      </w:pPr>
      <w:r w:rsidRPr="00D47532">
        <w:rPr>
          <w:rFonts w:ascii="Cambria" w:hAnsi="Cambria"/>
          <w:color w:val="202122"/>
          <w:highlight w:val="white"/>
        </w:rPr>
        <w:t>The Gallup World Poll questionnaire</w:t>
      </w:r>
      <w:r w:rsidRPr="00D47532">
        <w:rPr>
          <w:rFonts w:ascii="Cambria" w:hAnsi="Cambria"/>
          <w:color w:val="202122"/>
          <w:highlight w:val="white"/>
          <w:vertAlign w:val="superscript"/>
        </w:rPr>
        <w:t xml:space="preserve"> </w:t>
      </w:r>
      <w:r w:rsidRPr="00D47532">
        <w:rPr>
          <w:rFonts w:ascii="Cambria" w:hAnsi="Cambria"/>
          <w:color w:val="202122"/>
          <w:highlight w:val="white"/>
        </w:rPr>
        <w:t>measures 14 areas within its core questions: (1) business &amp; economic, (2) citizen engagement, (3) communications &amp; technology, (4) diversity (social issues), (5) education &amp; families, (6) emotions (well-being), (7) environment &amp; energy, (8) food &amp; shelter, (9) government and politics, (10) law &amp; order (safety), (11) health, (12) religion &amp; ethics, (13) transportation, and (14) work.</w:t>
      </w:r>
    </w:p>
    <w:p w14:paraId="0000003B" w14:textId="77777777" w:rsidR="00F01705" w:rsidRPr="00D47532" w:rsidRDefault="00000000">
      <w:pPr>
        <w:rPr>
          <w:rFonts w:ascii="Cambria" w:hAnsi="Cambria"/>
          <w:b/>
          <w:color w:val="181818"/>
          <w:highlight w:val="white"/>
        </w:rPr>
      </w:pPr>
      <w:r w:rsidRPr="00D47532">
        <w:rPr>
          <w:rFonts w:ascii="Cambria" w:hAnsi="Cambria"/>
          <w:b/>
          <w:color w:val="181818"/>
          <w:highlight w:val="white"/>
        </w:rPr>
        <w:t>Pros/cons:</w:t>
      </w:r>
    </w:p>
    <w:p w14:paraId="0000003C" w14:textId="77777777" w:rsidR="00F01705" w:rsidRPr="00D47532" w:rsidRDefault="00000000">
      <w:pPr>
        <w:rPr>
          <w:rFonts w:ascii="Cambria" w:hAnsi="Cambria"/>
          <w:b/>
          <w:color w:val="181818"/>
          <w:highlight w:val="white"/>
        </w:rPr>
      </w:pPr>
      <w:r w:rsidRPr="00D47532">
        <w:rPr>
          <w:rFonts w:ascii="Cambria" w:hAnsi="Cambria"/>
          <w:color w:val="181818"/>
          <w:highlight w:val="white"/>
        </w:rPr>
        <w:t>Precalculated sentiment score.</w:t>
      </w:r>
    </w:p>
    <w:p w14:paraId="0000003D" w14:textId="77777777" w:rsidR="00F01705" w:rsidRPr="00D47532" w:rsidRDefault="00000000">
      <w:pPr>
        <w:rPr>
          <w:rFonts w:ascii="Cambria" w:hAnsi="Cambria"/>
          <w:color w:val="181818"/>
          <w:highlight w:val="white"/>
        </w:rPr>
      </w:pPr>
      <w:r w:rsidRPr="00D47532">
        <w:rPr>
          <w:rFonts w:ascii="Cambria" w:hAnsi="Cambria"/>
          <w:color w:val="181818"/>
          <w:highlight w:val="white"/>
        </w:rPr>
        <w:t>More variables.</w:t>
      </w:r>
    </w:p>
    <w:p w14:paraId="0000003E" w14:textId="77777777" w:rsidR="00F01705" w:rsidRPr="00D47532" w:rsidRDefault="00000000">
      <w:pPr>
        <w:rPr>
          <w:rFonts w:ascii="Cambria" w:hAnsi="Cambria"/>
          <w:color w:val="202122"/>
          <w:highlight w:val="white"/>
        </w:rPr>
      </w:pPr>
      <w:r w:rsidRPr="00D47532">
        <w:rPr>
          <w:rFonts w:ascii="Cambria" w:hAnsi="Cambria"/>
          <w:color w:val="181818"/>
          <w:highlight w:val="white"/>
        </w:rPr>
        <w:t>Calculated by countries</w:t>
      </w:r>
    </w:p>
    <w:p w14:paraId="0000003F" w14:textId="77777777" w:rsidR="00F01705" w:rsidRPr="00D47532" w:rsidRDefault="00F01705">
      <w:pPr>
        <w:rPr>
          <w:rFonts w:ascii="Cambria" w:hAnsi="Cambria"/>
          <w:color w:val="181818"/>
          <w:highlight w:val="white"/>
        </w:rPr>
      </w:pPr>
    </w:p>
    <w:p w14:paraId="00000040" w14:textId="77777777" w:rsidR="00F01705" w:rsidRPr="00D47532" w:rsidRDefault="00F01705">
      <w:pPr>
        <w:rPr>
          <w:rFonts w:ascii="Cambria" w:eastAsia="Calibri" w:hAnsi="Cambria" w:cs="Calibri"/>
          <w:b/>
          <w:color w:val="0D0D0D"/>
          <w:highlight w:val="white"/>
        </w:rPr>
      </w:pPr>
    </w:p>
    <w:p w14:paraId="00000041" w14:textId="77777777" w:rsidR="00F01705" w:rsidRPr="00D47532" w:rsidRDefault="00000000">
      <w:pPr>
        <w:rPr>
          <w:rFonts w:ascii="Cambria" w:hAnsi="Cambria"/>
          <w:b/>
          <w:color w:val="0D0D0D"/>
          <w:highlight w:val="white"/>
        </w:rPr>
      </w:pPr>
      <w:r w:rsidRPr="00D47532">
        <w:rPr>
          <w:rFonts w:ascii="Cambria" w:hAnsi="Cambria"/>
          <w:b/>
          <w:color w:val="0D0D0D"/>
          <w:highlight w:val="white"/>
        </w:rPr>
        <w:t>Technique:</w:t>
      </w:r>
    </w:p>
    <w:p w14:paraId="00000042" w14:textId="77777777" w:rsidR="00F01705" w:rsidRPr="00D47532" w:rsidRDefault="00000000">
      <w:pPr>
        <w:rPr>
          <w:rFonts w:ascii="Cambria" w:hAnsi="Cambria"/>
          <w:color w:val="0D0D0D"/>
          <w:highlight w:val="white"/>
        </w:rPr>
      </w:pPr>
      <w:r w:rsidRPr="00D47532">
        <w:rPr>
          <w:rFonts w:ascii="Cambria" w:eastAsia="Roboto" w:hAnsi="Cambria" w:cs="Roboto"/>
          <w:color w:val="0D0D0D"/>
          <w:highlight w:val="white"/>
        </w:rPr>
        <w:t xml:space="preserve">For this project, a combination of statistical analysis, natural language processing (NLP), and data visualization techniques will be employed. We plan to use NLP to analyze the sentiment of tweets from the Twitter Sentiment Geographical Index, extracting happiness levels across different geographical locations. Techniques such as sentiment analysis and topic modeling may be applied to categorize tweets and understand the context of happiness and sugar intake discussions. </w:t>
      </w:r>
      <w:r w:rsidRPr="00D47532">
        <w:rPr>
          <w:rFonts w:ascii="Cambria" w:eastAsia="Roboto" w:hAnsi="Cambria" w:cs="Roboto"/>
          <w:color w:val="0D0D0D"/>
          <w:highlight w:val="white"/>
        </w:rPr>
        <w:lastRenderedPageBreak/>
        <w:t xml:space="preserve">Statistical methods will be utilized to correlate happiness levels with per capita sugar intake, employing regression analysis or correlation coefficients to identify significant relationships. Visualization techniques will include the use of </w:t>
      </w:r>
      <w:r w:rsidRPr="00D47532">
        <w:rPr>
          <w:rFonts w:ascii="Cambria" w:eastAsia="Roboto" w:hAnsi="Cambria" w:cs="Roboto"/>
          <w:i/>
          <w:color w:val="0D0D0D"/>
          <w:highlight w:val="white"/>
        </w:rPr>
        <w:t>ggplot2</w:t>
      </w:r>
      <w:r w:rsidRPr="00D47532">
        <w:rPr>
          <w:rFonts w:ascii="Cambria" w:eastAsia="Roboto" w:hAnsi="Cambria" w:cs="Roboto"/>
          <w:color w:val="0D0D0D"/>
          <w:highlight w:val="white"/>
        </w:rPr>
        <w:t xml:space="preserve"> for generating line charts to illustrate trends over time, and interactive mapping tools to create heat maps and interactive maps that geographically display the relationship between happiness and sugar intake across various regions. Data manipulation and cleaning will be facilitated by tools like </w:t>
      </w:r>
      <w:proofErr w:type="spellStart"/>
      <w:r w:rsidRPr="00D47532">
        <w:rPr>
          <w:rFonts w:ascii="Cambria" w:eastAsia="Roboto" w:hAnsi="Cambria" w:cs="Roboto"/>
          <w:i/>
          <w:color w:val="0D0D0D"/>
          <w:highlight w:val="white"/>
        </w:rPr>
        <w:t>dplyr</w:t>
      </w:r>
      <w:proofErr w:type="spellEnd"/>
      <w:r w:rsidRPr="00D47532">
        <w:rPr>
          <w:rFonts w:ascii="Cambria" w:eastAsia="Roboto" w:hAnsi="Cambria" w:cs="Roboto"/>
          <w:color w:val="0D0D0D"/>
          <w:highlight w:val="white"/>
        </w:rPr>
        <w:t xml:space="preserve"> n R or </w:t>
      </w:r>
      <w:r w:rsidRPr="00D47532">
        <w:rPr>
          <w:rFonts w:ascii="Cambria" w:eastAsia="Roboto" w:hAnsi="Cambria" w:cs="Roboto"/>
          <w:i/>
          <w:color w:val="0D0D0D"/>
          <w:highlight w:val="white"/>
        </w:rPr>
        <w:t>pandas</w:t>
      </w:r>
      <w:r w:rsidRPr="00D47532">
        <w:rPr>
          <w:rFonts w:ascii="Cambria" w:eastAsia="Roboto" w:hAnsi="Cambria" w:cs="Roboto"/>
          <w:color w:val="0D0D0D"/>
          <w:highlight w:val="white"/>
        </w:rPr>
        <w:t xml:space="preserve"> in Python, ensuring the datasets are ready for analysis.</w:t>
      </w:r>
    </w:p>
    <w:p w14:paraId="00000043" w14:textId="77777777" w:rsidR="00F01705" w:rsidRPr="00D47532" w:rsidRDefault="00F01705">
      <w:pPr>
        <w:rPr>
          <w:rFonts w:ascii="Cambria" w:hAnsi="Cambria"/>
          <w:b/>
          <w:color w:val="0D0D0D"/>
          <w:highlight w:val="white"/>
        </w:rPr>
      </w:pPr>
    </w:p>
    <w:p w14:paraId="00000044" w14:textId="77777777" w:rsidR="00F01705" w:rsidRPr="00D47532" w:rsidRDefault="00000000">
      <w:pPr>
        <w:rPr>
          <w:rFonts w:ascii="Cambria" w:hAnsi="Cambria"/>
          <w:b/>
          <w:color w:val="0D0D0D"/>
          <w:highlight w:val="white"/>
        </w:rPr>
      </w:pPr>
      <w:r w:rsidRPr="00D47532">
        <w:rPr>
          <w:rFonts w:ascii="Cambria" w:hAnsi="Cambria"/>
          <w:b/>
          <w:color w:val="0D0D0D"/>
          <w:highlight w:val="white"/>
        </w:rPr>
        <w:t>Visualization type:</w:t>
      </w:r>
    </w:p>
    <w:p w14:paraId="00000045" w14:textId="77777777" w:rsidR="00F01705" w:rsidRPr="00D4753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ambria" w:hAnsi="Cambria"/>
          <w:color w:val="0D0D0D"/>
          <w:highlight w:val="white"/>
        </w:rPr>
      </w:pPr>
      <w:r w:rsidRPr="00D47532">
        <w:rPr>
          <w:rFonts w:ascii="Cambria" w:eastAsia="Roboto" w:hAnsi="Cambria" w:cs="Roboto"/>
          <w:color w:val="0D0D0D"/>
          <w:highlight w:val="white"/>
        </w:rPr>
        <w:t>The project aims to employ a range of visualization types to effectively communicate the findings:</w:t>
      </w:r>
    </w:p>
    <w:p w14:paraId="00000046" w14:textId="77777777" w:rsidR="00F01705" w:rsidRPr="00D47532"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hAnsi="Cambria"/>
          <w:color w:val="0D0D0D"/>
          <w:highlight w:val="white"/>
        </w:rPr>
      </w:pPr>
      <w:r w:rsidRPr="00D47532">
        <w:rPr>
          <w:rFonts w:ascii="Cambria" w:eastAsia="Roboto" w:hAnsi="Cambria" w:cs="Roboto"/>
          <w:b/>
          <w:color w:val="0D0D0D"/>
          <w:highlight w:val="white"/>
        </w:rPr>
        <w:t>Line Charts:</w:t>
      </w:r>
      <w:r w:rsidRPr="00D47532">
        <w:rPr>
          <w:rFonts w:ascii="Cambria" w:eastAsia="Roboto" w:hAnsi="Cambria" w:cs="Roboto"/>
          <w:color w:val="0D0D0D"/>
          <w:highlight w:val="white"/>
        </w:rPr>
        <w:t xml:space="preserve"> To depict trends over time in both happiness and sugar intake across different countries and regions, allowing for temporal comparisons.</w:t>
      </w:r>
    </w:p>
    <w:p w14:paraId="00000047" w14:textId="77777777" w:rsidR="00F01705" w:rsidRPr="00D47532"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Roboto" w:hAnsi="Cambria" w:cs="Roboto"/>
          <w:color w:val="0D0D0D"/>
        </w:rPr>
      </w:pPr>
      <w:r w:rsidRPr="00D47532">
        <w:rPr>
          <w:rFonts w:ascii="Cambria" w:eastAsia="Roboto" w:hAnsi="Cambria" w:cs="Roboto"/>
          <w:b/>
          <w:color w:val="0D0D0D"/>
          <w:highlight w:val="white"/>
        </w:rPr>
        <w:t>Interactive Maps:</w:t>
      </w:r>
      <w:r w:rsidRPr="00D47532">
        <w:rPr>
          <w:rFonts w:ascii="Cambria" w:eastAsia="Roboto" w:hAnsi="Cambria" w:cs="Roboto"/>
          <w:color w:val="0D0D0D"/>
          <w:highlight w:val="white"/>
        </w:rPr>
        <w:t xml:space="preserve"> To visually represent the geographical distribution of happiness and sugar intake levels, enabling users to explore data across different locations interactively.</w:t>
      </w:r>
    </w:p>
    <w:p w14:paraId="00000048" w14:textId="77777777" w:rsidR="00F01705" w:rsidRPr="00D47532"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Roboto" w:hAnsi="Cambria" w:cs="Roboto"/>
          <w:color w:val="0D0D0D"/>
        </w:rPr>
      </w:pPr>
      <w:r w:rsidRPr="00D47532">
        <w:rPr>
          <w:rFonts w:ascii="Cambria" w:eastAsia="Roboto" w:hAnsi="Cambria" w:cs="Roboto"/>
          <w:b/>
          <w:color w:val="0D0D0D"/>
          <w:highlight w:val="white"/>
        </w:rPr>
        <w:t>Heat Maps:</w:t>
      </w:r>
      <w:r w:rsidRPr="00D47532">
        <w:rPr>
          <w:rFonts w:ascii="Cambria" w:eastAsia="Roboto" w:hAnsi="Cambria" w:cs="Roboto"/>
          <w:color w:val="0D0D0D"/>
          <w:highlight w:val="white"/>
        </w:rPr>
        <w:t xml:space="preserve"> To illustrate concentrations of high or low happiness levels in correlation with sugar intake, providing a clear visual indicator of any potential hotspots.</w:t>
      </w:r>
    </w:p>
    <w:p w14:paraId="00000049" w14:textId="77777777" w:rsidR="00F01705" w:rsidRPr="00D47532"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Roboto" w:hAnsi="Cambria" w:cs="Roboto"/>
          <w:color w:val="0D0D0D"/>
        </w:rPr>
      </w:pPr>
      <w:r w:rsidRPr="00D47532">
        <w:rPr>
          <w:rFonts w:ascii="Cambria" w:eastAsia="Roboto" w:hAnsi="Cambria" w:cs="Roboto"/>
          <w:b/>
          <w:color w:val="0D0D0D"/>
          <w:highlight w:val="white"/>
        </w:rPr>
        <w:t>Scatter Plots</w:t>
      </w:r>
      <w:r w:rsidRPr="00D47532">
        <w:rPr>
          <w:rFonts w:ascii="Cambria" w:eastAsia="Roboto" w:hAnsi="Cambria" w:cs="Roboto"/>
          <w:color w:val="0D0D0D"/>
          <w:highlight w:val="white"/>
        </w:rPr>
        <w:t>: To analyze the relationship between happiness and sugar intake, potentially with trend lines to indicate the direction and strength of the relationship.</w:t>
      </w:r>
    </w:p>
    <w:p w14:paraId="0000004A" w14:textId="77777777" w:rsidR="00F01705" w:rsidRPr="00D47532"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Cambria" w:eastAsia="Roboto" w:hAnsi="Cambria" w:cs="Roboto"/>
          <w:color w:val="0D0D0D"/>
        </w:rPr>
      </w:pPr>
      <w:r w:rsidRPr="00D47532">
        <w:rPr>
          <w:rFonts w:ascii="Cambria" w:eastAsia="Roboto" w:hAnsi="Cambria" w:cs="Roboto"/>
          <w:b/>
          <w:color w:val="0D0D0D"/>
          <w:highlight w:val="white"/>
        </w:rPr>
        <w:t xml:space="preserve">Bar Charts: </w:t>
      </w:r>
      <w:r w:rsidRPr="00D47532">
        <w:rPr>
          <w:rFonts w:ascii="Cambria" w:eastAsia="Roboto" w:hAnsi="Cambria" w:cs="Roboto"/>
          <w:color w:val="0D0D0D"/>
          <w:highlight w:val="white"/>
        </w:rPr>
        <w:t>For comparing happiness and sugar intake levels across different demographic segments or countries.</w:t>
      </w:r>
    </w:p>
    <w:p w14:paraId="0000004B" w14:textId="77777777" w:rsidR="00F01705" w:rsidRPr="00D47532" w:rsidRDefault="00000000">
      <w:pPr>
        <w:rPr>
          <w:rFonts w:ascii="Cambria" w:hAnsi="Cambria"/>
          <w:b/>
          <w:color w:val="0D0D0D"/>
          <w:highlight w:val="white"/>
        </w:rPr>
      </w:pPr>
      <w:r w:rsidRPr="00D47532">
        <w:rPr>
          <w:rFonts w:ascii="Cambria" w:hAnsi="Cambria"/>
          <w:b/>
          <w:color w:val="0D0D0D"/>
          <w:highlight w:val="white"/>
        </w:rPr>
        <w:t>Potential problems/ limitations</w:t>
      </w:r>
    </w:p>
    <w:p w14:paraId="0000004C" w14:textId="77777777" w:rsidR="00F01705" w:rsidRPr="00D47532"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Roboto" w:hAnsi="Cambria" w:cs="Roboto"/>
          <w:color w:val="0D0D0D"/>
        </w:rPr>
      </w:pPr>
      <w:r w:rsidRPr="00D47532">
        <w:rPr>
          <w:rFonts w:ascii="Cambria" w:eastAsia="Roboto" w:hAnsi="Cambria" w:cs="Roboto"/>
          <w:b/>
          <w:color w:val="0D0D0D"/>
          <w:highlight w:val="white"/>
        </w:rPr>
        <w:t>Data Quality and Availability</w:t>
      </w:r>
      <w:r w:rsidRPr="00D47532">
        <w:rPr>
          <w:rFonts w:ascii="Cambria" w:eastAsia="Roboto" w:hAnsi="Cambria" w:cs="Roboto"/>
          <w:color w:val="0D0D0D"/>
          <w:highlight w:val="white"/>
        </w:rPr>
        <w:t>: The reliability of self-reported data on sugar intake and the sentiment scores derived from social media may present challenges. Variations in data quality across different sources and potential biases in self-reporting or sentiment analysis algorithms could affect the accuracy of the findings.</w:t>
      </w:r>
    </w:p>
    <w:p w14:paraId="0000004D" w14:textId="77777777" w:rsidR="00F01705" w:rsidRPr="00D47532"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Roboto" w:hAnsi="Cambria" w:cs="Roboto"/>
          <w:color w:val="0D0D0D"/>
        </w:rPr>
      </w:pPr>
      <w:r w:rsidRPr="00D47532">
        <w:rPr>
          <w:rFonts w:ascii="Cambria" w:eastAsia="Roboto" w:hAnsi="Cambria" w:cs="Roboto"/>
          <w:b/>
          <w:color w:val="0D0D0D"/>
          <w:highlight w:val="white"/>
        </w:rPr>
        <w:t>Cultural and Linguistic Differences:</w:t>
      </w:r>
      <w:r w:rsidRPr="00D47532">
        <w:rPr>
          <w:rFonts w:ascii="Cambria" w:eastAsia="Roboto" w:hAnsi="Cambria" w:cs="Roboto"/>
          <w:color w:val="0D0D0D"/>
          <w:highlight w:val="white"/>
        </w:rPr>
        <w:t xml:space="preserve"> The interpretation of happiness and discussions around sugar intake may vary significantly across cultures, which could influence sentiment analysis results. Language differences and the use of slang or idiomatic expressions on social media platforms like Twitter may also pose challenges for accurate sentiment analysis.</w:t>
      </w:r>
    </w:p>
    <w:p w14:paraId="0000004E" w14:textId="77777777" w:rsidR="00F01705" w:rsidRPr="00D47532"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Roboto" w:hAnsi="Cambria" w:cs="Roboto"/>
          <w:color w:val="0D0D0D"/>
        </w:rPr>
      </w:pPr>
      <w:r w:rsidRPr="00D47532">
        <w:rPr>
          <w:rFonts w:ascii="Cambria" w:eastAsia="Roboto" w:hAnsi="Cambria" w:cs="Roboto"/>
          <w:b/>
          <w:color w:val="0D0D0D"/>
          <w:highlight w:val="white"/>
        </w:rPr>
        <w:t>Correlation vs. Causation:</w:t>
      </w:r>
      <w:r w:rsidRPr="00D47532">
        <w:rPr>
          <w:rFonts w:ascii="Cambria" w:eastAsia="Roboto" w:hAnsi="Cambria" w:cs="Roboto"/>
          <w:color w:val="0D0D0D"/>
          <w:highlight w:val="white"/>
        </w:rPr>
        <w:t xml:space="preserve"> Establishing a correlation between happiness and sugar intake does not imply causation. There may be underlying factors influencing both variables that are not accounted for in the analysis.</w:t>
      </w:r>
    </w:p>
    <w:p w14:paraId="0000004F" w14:textId="77777777" w:rsidR="00F01705" w:rsidRPr="00D47532"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Cambria" w:eastAsia="Roboto" w:hAnsi="Cambria" w:cs="Roboto"/>
          <w:color w:val="0D0D0D"/>
        </w:rPr>
      </w:pPr>
      <w:r w:rsidRPr="00D47532">
        <w:rPr>
          <w:rFonts w:ascii="Cambria" w:eastAsia="Roboto" w:hAnsi="Cambria" w:cs="Roboto"/>
          <w:b/>
          <w:color w:val="0D0D0D"/>
          <w:highlight w:val="white"/>
        </w:rPr>
        <w:t xml:space="preserve">Ethical and Privacy Concerns: </w:t>
      </w:r>
      <w:r w:rsidRPr="00D47532">
        <w:rPr>
          <w:rFonts w:ascii="Cambria" w:eastAsia="Roboto" w:hAnsi="Cambria" w:cs="Roboto"/>
          <w:color w:val="0D0D0D"/>
          <w:highlight w:val="white"/>
        </w:rPr>
        <w:t>The use of publicly available social media data raises ethical considerations around privacy and consent, especially when analyzing and presenting data at the individual or community level.</w:t>
      </w:r>
    </w:p>
    <w:p w14:paraId="00000050" w14:textId="77777777" w:rsidR="00F01705" w:rsidRDefault="00F01705">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24"/>
          <w:szCs w:val="24"/>
          <w:highlight w:val="white"/>
        </w:rPr>
      </w:pPr>
    </w:p>
    <w:p w14:paraId="00000051" w14:textId="77777777" w:rsidR="00F01705" w:rsidRDefault="00F01705">
      <w:pPr>
        <w:rPr>
          <w:rFonts w:ascii="Calibri" w:eastAsia="Calibri" w:hAnsi="Calibri" w:cs="Calibri"/>
          <w:b/>
          <w:color w:val="0D0D0D"/>
          <w:sz w:val="24"/>
          <w:szCs w:val="24"/>
          <w:highlight w:val="white"/>
        </w:rPr>
      </w:pPr>
    </w:p>
    <w:p w14:paraId="00000052" w14:textId="77777777" w:rsidR="00F01705" w:rsidRDefault="00F01705">
      <w:pPr>
        <w:rPr>
          <w:rFonts w:ascii="Calibri" w:eastAsia="Calibri" w:hAnsi="Calibri" w:cs="Calibri"/>
          <w:b/>
          <w:color w:val="0D0D0D"/>
          <w:sz w:val="24"/>
          <w:szCs w:val="24"/>
          <w:highlight w:val="white"/>
        </w:rPr>
      </w:pPr>
    </w:p>
    <w:p w14:paraId="00000053" w14:textId="77777777" w:rsidR="00F01705" w:rsidRDefault="00F01705">
      <w:pPr>
        <w:rPr>
          <w:rFonts w:ascii="Calibri" w:eastAsia="Calibri" w:hAnsi="Calibri" w:cs="Calibri"/>
          <w:b/>
          <w:color w:val="0D0D0D"/>
          <w:sz w:val="24"/>
          <w:szCs w:val="24"/>
          <w:highlight w:val="white"/>
        </w:rPr>
      </w:pPr>
    </w:p>
    <w:p w14:paraId="00000054" w14:textId="77777777" w:rsidR="00F01705" w:rsidRDefault="00F01705">
      <w:pPr>
        <w:rPr>
          <w:rFonts w:ascii="Calibri" w:eastAsia="Calibri" w:hAnsi="Calibri" w:cs="Calibri"/>
          <w:b/>
          <w:color w:val="0D0D0D"/>
          <w:sz w:val="24"/>
          <w:szCs w:val="24"/>
          <w:highlight w:val="white"/>
        </w:rPr>
      </w:pPr>
    </w:p>
    <w:p w14:paraId="00000055" w14:textId="77777777" w:rsidR="00F01705" w:rsidRDefault="00F01705"/>
    <w:p w14:paraId="00000056" w14:textId="77777777" w:rsidR="00F01705" w:rsidRDefault="00F01705"/>
    <w:p w14:paraId="00000057" w14:textId="77777777" w:rsidR="00F01705" w:rsidRDefault="00F01705"/>
    <w:p w14:paraId="00000058" w14:textId="77777777" w:rsidR="00F01705" w:rsidRDefault="00F01705"/>
    <w:p w14:paraId="00000059" w14:textId="77777777" w:rsidR="00F01705" w:rsidRDefault="00F01705">
      <w:pPr>
        <w:rPr>
          <w:rFonts w:ascii="Calibri" w:eastAsia="Calibri" w:hAnsi="Calibri" w:cs="Calibri"/>
          <w:color w:val="0D0D0D"/>
          <w:sz w:val="24"/>
          <w:szCs w:val="24"/>
          <w:highlight w:val="white"/>
        </w:rPr>
      </w:pPr>
    </w:p>
    <w:p w14:paraId="0000005A" w14:textId="77777777" w:rsidR="00F01705" w:rsidRDefault="00F01705">
      <w:pPr>
        <w:rPr>
          <w:rFonts w:ascii="Calibri" w:eastAsia="Calibri" w:hAnsi="Calibri" w:cs="Calibri"/>
          <w:color w:val="0D0D0D"/>
          <w:sz w:val="24"/>
          <w:szCs w:val="24"/>
          <w:highlight w:val="white"/>
        </w:rPr>
      </w:pPr>
    </w:p>
    <w:p w14:paraId="0000005B" w14:textId="77777777" w:rsidR="00F01705" w:rsidRDefault="00F01705">
      <w:pPr>
        <w:rPr>
          <w:rFonts w:ascii="Calibri" w:eastAsia="Calibri" w:hAnsi="Calibri" w:cs="Calibri"/>
          <w:color w:val="0D0D0D"/>
          <w:sz w:val="24"/>
          <w:szCs w:val="24"/>
          <w:highlight w:val="white"/>
        </w:rPr>
      </w:pPr>
    </w:p>
    <w:p w14:paraId="0000005C" w14:textId="77777777" w:rsidR="00F01705" w:rsidRDefault="00F01705">
      <w:pPr>
        <w:rPr>
          <w:rFonts w:ascii="Calibri" w:eastAsia="Calibri" w:hAnsi="Calibri" w:cs="Calibri"/>
          <w:color w:val="0D0D0D"/>
          <w:sz w:val="24"/>
          <w:szCs w:val="24"/>
          <w:highlight w:val="white"/>
        </w:rPr>
      </w:pPr>
    </w:p>
    <w:sectPr w:rsidR="00F017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44D0C"/>
    <w:multiLevelType w:val="multilevel"/>
    <w:tmpl w:val="D10C5D52"/>
    <w:lvl w:ilvl="0">
      <w:start w:val="1"/>
      <w:numFmt w:val="decimal"/>
      <w:lvlText w:val="%1."/>
      <w:lvlJc w:val="left"/>
      <w:pPr>
        <w:ind w:left="270" w:hanging="360"/>
      </w:pPr>
      <w:rPr>
        <w:rFonts w:ascii="Arial" w:eastAsia="Arial" w:hAnsi="Arial" w:cs="Arial"/>
        <w:b/>
        <w:sz w:val="20"/>
        <w:szCs w:val="20"/>
        <w:u w:val="none"/>
      </w:rPr>
    </w:lvl>
    <w:lvl w:ilvl="1">
      <w:start w:val="1"/>
      <w:numFmt w:val="lowerLetter"/>
      <w:lvlText w:val="%2."/>
      <w:lvlJc w:val="left"/>
      <w:pPr>
        <w:ind w:left="1440" w:hanging="360"/>
      </w:pPr>
      <w:rPr>
        <w:b/>
        <w:bC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4CF338E"/>
    <w:multiLevelType w:val="multilevel"/>
    <w:tmpl w:val="366C5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A27A68"/>
    <w:multiLevelType w:val="multilevel"/>
    <w:tmpl w:val="7936A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1029476">
    <w:abstractNumId w:val="2"/>
  </w:num>
  <w:num w:numId="2" w16cid:durableId="1437552486">
    <w:abstractNumId w:val="0"/>
  </w:num>
  <w:num w:numId="3" w16cid:durableId="1877228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05"/>
    <w:rsid w:val="00D47532"/>
    <w:rsid w:val="00F01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18AB"/>
  <w15:docId w15:val="{EAC5CC88-9DDA-424B-9E21-09500461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D475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x2228@columbia.edu" TargetMode="External"/><Relationship Id="rId13" Type="http://schemas.openxmlformats.org/officeDocument/2006/relationships/hyperlink" Target="https://www.globalsentiment.mit.edu/dataset" TargetMode="External"/><Relationship Id="rId3" Type="http://schemas.openxmlformats.org/officeDocument/2006/relationships/settings" Target="settings.xml"/><Relationship Id="rId7" Type="http://schemas.openxmlformats.org/officeDocument/2006/relationships/hyperlink" Target="mailto:jl6576@columbia.edu" TargetMode="External"/><Relationship Id="rId12" Type="http://schemas.openxmlformats.org/officeDocument/2006/relationships/hyperlink" Target="https://www.ers.usda.gov/data-products/food-consumption-and-nutrient-intak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s6367@columbia.edu" TargetMode="External"/><Relationship Id="rId11" Type="http://schemas.openxmlformats.org/officeDocument/2006/relationships/hyperlink" Target="https://www.globaldietarydatabase.org/management/microdata-surveys/718" TargetMode="External"/><Relationship Id="rId5" Type="http://schemas.openxmlformats.org/officeDocument/2006/relationships/hyperlink" Target="mailto:xh2612@columbia.edu" TargetMode="External"/><Relationship Id="rId15" Type="http://schemas.openxmlformats.org/officeDocument/2006/relationships/hyperlink" Target="https://worldhappiness.report/data/" TargetMode="External"/><Relationship Id="rId10" Type="http://schemas.openxmlformats.org/officeDocument/2006/relationships/hyperlink" Target="https://www.fao.org/faostat/en/" TargetMode="External"/><Relationship Id="rId4" Type="http://schemas.openxmlformats.org/officeDocument/2006/relationships/webSettings" Target="webSettings.xml"/><Relationship Id="rId9" Type="http://schemas.openxmlformats.org/officeDocument/2006/relationships/hyperlink" Target="https://www.fao.org/faostat/en/" TargetMode="External"/><Relationship Id="rId14" Type="http://schemas.openxmlformats.org/officeDocument/2006/relationships/hyperlink" Target="https://dataverse.harvard.edu/dataset.xhtml?persistentId=doi:10.7910/DVN/3IL00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Jiayi Song</cp:lastModifiedBy>
  <cp:revision>2</cp:revision>
  <dcterms:created xsi:type="dcterms:W3CDTF">2024-03-06T20:29:00Z</dcterms:created>
  <dcterms:modified xsi:type="dcterms:W3CDTF">2024-03-06T20:31:00Z</dcterms:modified>
</cp:coreProperties>
</file>